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155"/>
        <w:tblGridChange w:id="0">
          <w:tblGrid>
            <w:gridCol w:w="2205"/>
            <w:gridCol w:w="7155"/>
          </w:tblGrid>
        </w:tblGridChange>
      </w:tblGrid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Group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VSEPR</w:t>
      </w:r>
    </w:p>
    <w:p w:rsidR="00000000" w:rsidDel="00000000" w:rsidP="00000000" w:rsidRDefault="00000000" w:rsidRPr="00000000" w14:paraId="00000006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Group Lab Report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b w:val="1"/>
          <w:sz w:val="36"/>
          <w:szCs w:val="36"/>
        </w:rPr>
      </w:pPr>
      <w:bookmarkStart w:colFirst="0" w:colLast="0" w:name="_mkijrqblcmba" w:id="0"/>
      <w:bookmarkEnd w:id="0"/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LibreTexts page: </w:t>
      </w:r>
      <w:hyperlink r:id="rId6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u w:val="single"/>
            <w:rtl w:val="0"/>
          </w:rPr>
          <w:t xml:space="preserve">7: Molecular Structure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after="0" w:before="0" w:lineRule="auto"/>
        <w:jc w:val="center"/>
        <w:rPr>
          <w:rFonts w:ascii="Comfortaa" w:cs="Comfortaa" w:eastAsia="Comfortaa" w:hAnsi="Comfortaa"/>
          <w:sz w:val="48"/>
          <w:szCs w:val="48"/>
        </w:rPr>
      </w:pPr>
      <w:bookmarkStart w:colFirst="0" w:colLast="0" w:name="_3ykqgmnib0j9" w:id="1"/>
      <w:bookmarkEnd w:id="1"/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(</w:t>
      </w:r>
      <w:hyperlink r:id="rId7">
        <w:r w:rsidDel="00000000" w:rsidR="00000000" w:rsidRPr="00000000">
          <w:rPr>
            <w:rFonts w:ascii="Comfortaa" w:cs="Comfortaa" w:eastAsia="Comfortaa" w:hAnsi="Comfortaa"/>
            <w:color w:val="1155cc"/>
            <w:sz w:val="20"/>
            <w:szCs w:val="20"/>
            <w:u w:val="single"/>
            <w:rtl w:val="0"/>
          </w:rPr>
          <w:t xml:space="preserve">https://chem.libretexts.org/link?214684</w:t>
        </w:r>
      </w:hyperlink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Please don’t edit, rearrange or delete anything that is already in this document. Just add your answers inside the boxes.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You can use shortcuts for superscripts and subscripts when needed:</w:t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</w:rPr>
        <w:drawing>
          <wp:inline distB="114300" distT="114300" distL="114300" distR="114300">
            <wp:extent cx="2162175" cy="552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Use the VSEPR Worksheet to answer the questions. </w:t>
      </w:r>
    </w:p>
    <w:p w:rsidR="00000000" w:rsidDel="00000000" w:rsidP="00000000" w:rsidRDefault="00000000" w:rsidRPr="00000000" w14:paraId="00000011">
      <w:pPr>
        <w:spacing w:after="160" w:line="259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To indicate the dipole, ROTATE the image to position atoms with partial positive charge on top. </w:t>
      </w:r>
    </w:p>
    <w:p w:rsidR="00000000" w:rsidDel="00000000" w:rsidP="00000000" w:rsidRDefault="00000000" w:rsidRPr="00000000" w14:paraId="00000012">
      <w:pPr>
        <w:spacing w:after="160" w:line="259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Use the first compound as example.</w:t>
      </w:r>
    </w:p>
    <w:tbl>
      <w:tblPr>
        <w:tblStyle w:val="Table2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565"/>
        <w:gridCol w:w="5655"/>
        <w:tblGridChange w:id="0">
          <w:tblGrid>
            <w:gridCol w:w="1395"/>
            <w:gridCol w:w="2565"/>
            <w:gridCol w:w="565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Compound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Name electronic geometry and identify hybrid orbitals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Name molecular geometry, indicate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bond angle and if polar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. Paste the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image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and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orient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 it so partial positive charge is at the top. </w:t>
            </w:r>
          </w:p>
        </w:tc>
      </w:tr>
      <w:tr>
        <w:trPr>
          <w:trHeight w:val="2421.42857142857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Tetrahedral, sp3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</w:rPr>
              <w:drawing>
                <wp:inline distB="114300" distT="114300" distL="114300" distR="114300">
                  <wp:extent cx="1532822" cy="1434983"/>
                  <wp:effectExtent b="317347" l="254531" r="254531" t="317347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8204722">
                            <a:off x="0" y="0"/>
                            <a:ext cx="1532822" cy="14349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Bent, 104.5 deg, polar</w:t>
            </w:r>
          </w:p>
        </w:tc>
      </w:tr>
      <w:tr>
        <w:trPr>
          <w:trHeight w:val="2421.42857142857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NH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1.42857142857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NH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1.42857142857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1.42857142857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perscript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1.42857142857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SeCl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1.42857142857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AlCl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1.428571428571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XeCl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vertAlign w:val="subscript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160" w:line="259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chem.libretexts.org/Courses/University_of_Arkansas_Little_Rock/Chem_1402%3A_General_Chemistry_1_(Belford)/Laboratory/07%3A_Experiment_7_-_Molecular_Structure" TargetMode="External"/><Relationship Id="rId7" Type="http://schemas.openxmlformats.org/officeDocument/2006/relationships/hyperlink" Target="https://chem.libretexts.org/link?214684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