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Group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04">
      <w:pPr>
        <w:rPr>
          <w:rFonts w:ascii="Comfortaa" w:cs="Comfortaa" w:eastAsia="Comfortaa" w:hAnsi="Comfortaa"/>
        </w:rPr>
      </w:pPr>
      <w:r w:rsidDel="00000000" w:rsidR="00000000" w:rsidRPr="00000000">
        <w:rPr>
          <w:rtl w:val="0"/>
        </w:rPr>
      </w:r>
    </w:p>
    <w:p w:rsidR="00000000" w:rsidDel="00000000" w:rsidP="00000000" w:rsidRDefault="00000000" w:rsidRPr="00000000" w14:paraId="00000005">
      <w:pPr>
        <w:jc w:val="center"/>
        <w:rPr>
          <w:rFonts w:ascii="Comfortaa" w:cs="Comfortaa" w:eastAsia="Comfortaa" w:hAnsi="Comfortaa"/>
          <w:b w:val="1"/>
          <w:sz w:val="48"/>
          <w:szCs w:val="48"/>
        </w:rPr>
      </w:pPr>
      <w:r w:rsidDel="00000000" w:rsidR="00000000" w:rsidRPr="00000000">
        <w:rPr>
          <w:rFonts w:ascii="Comfortaa" w:cs="Comfortaa" w:eastAsia="Comfortaa" w:hAnsi="Comfortaa"/>
          <w:b w:val="1"/>
          <w:sz w:val="48"/>
          <w:szCs w:val="48"/>
          <w:rtl w:val="0"/>
        </w:rPr>
        <w:t xml:space="preserve">Gravimetric Analysis</w:t>
      </w:r>
    </w:p>
    <w:p w:rsidR="00000000" w:rsidDel="00000000" w:rsidP="00000000" w:rsidRDefault="00000000" w:rsidRPr="00000000" w14:paraId="00000006">
      <w:pPr>
        <w:jc w:val="center"/>
        <w:rPr>
          <w:rFonts w:ascii="Comfortaa" w:cs="Comfortaa" w:eastAsia="Comfortaa" w:hAnsi="Comfortaa"/>
          <w:sz w:val="48"/>
          <w:szCs w:val="48"/>
        </w:rPr>
      </w:pPr>
      <w:r w:rsidDel="00000000" w:rsidR="00000000" w:rsidRPr="00000000">
        <w:rPr>
          <w:rFonts w:ascii="Comfortaa" w:cs="Comfortaa" w:eastAsia="Comfortaa" w:hAnsi="Comfortaa"/>
          <w:sz w:val="48"/>
          <w:szCs w:val="48"/>
          <w:rtl w:val="0"/>
        </w:rPr>
        <w:t xml:space="preserve">Worksheet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spacing w:after="0" w:before="0" w:lineRule="auto"/>
        <w:jc w:val="center"/>
        <w:rPr>
          <w:rFonts w:ascii="Comfortaa" w:cs="Comfortaa" w:eastAsia="Comfortaa" w:hAnsi="Comfortaa"/>
          <w:b w:val="1"/>
          <w:sz w:val="36"/>
          <w:szCs w:val="36"/>
        </w:rPr>
      </w:pPr>
      <w:bookmarkStart w:colFirst="0" w:colLast="0" w:name="_mkijrqblcmba" w:id="0"/>
      <w:bookmarkEnd w:id="0"/>
      <w:r w:rsidDel="00000000" w:rsidR="00000000" w:rsidRPr="00000000">
        <w:rPr>
          <w:rFonts w:ascii="Comfortaa" w:cs="Comfortaa" w:eastAsia="Comfortaa" w:hAnsi="Comfortaa"/>
          <w:b w:val="1"/>
          <w:sz w:val="36"/>
          <w:szCs w:val="36"/>
          <w:rtl w:val="0"/>
        </w:rPr>
        <w:t xml:space="preserve">LibreTexts page: </w:t>
      </w:r>
      <w:hyperlink r:id="rId6">
        <w:r w:rsidDel="00000000" w:rsidR="00000000" w:rsidRPr="00000000">
          <w:rPr>
            <w:rFonts w:ascii="Comfortaa" w:cs="Comfortaa" w:eastAsia="Comfortaa" w:hAnsi="Comfortaa"/>
            <w:b w:val="1"/>
            <w:color w:val="1155cc"/>
            <w:u w:val="single"/>
            <w:rtl w:val="0"/>
          </w:rPr>
          <w:t xml:space="preserve">4: Chemical Reactions</w:t>
        </w:r>
      </w:hyperlink>
      <w:r w:rsidDel="00000000" w:rsidR="00000000" w:rsidRPr="00000000">
        <w:rPr>
          <w:rtl w:val="0"/>
        </w:rPr>
      </w:r>
    </w:p>
    <w:p w:rsidR="00000000" w:rsidDel="00000000" w:rsidP="00000000" w:rsidRDefault="00000000" w:rsidRPr="00000000" w14:paraId="00000009">
      <w:pPr>
        <w:pStyle w:val="Heading2"/>
        <w:spacing w:after="0" w:before="0" w:lineRule="auto"/>
        <w:jc w:val="center"/>
        <w:rPr>
          <w:rFonts w:ascii="Comfortaa" w:cs="Comfortaa" w:eastAsia="Comfortaa" w:hAnsi="Comfortaa"/>
          <w:sz w:val="20"/>
          <w:szCs w:val="20"/>
        </w:rPr>
      </w:pPr>
      <w:bookmarkStart w:colFirst="0" w:colLast="0" w:name="_n13mj3hg77z3" w:id="1"/>
      <w:bookmarkEnd w:id="1"/>
      <w:r w:rsidDel="00000000" w:rsidR="00000000" w:rsidRPr="00000000">
        <w:rPr>
          <w:rFonts w:ascii="Comfortaa" w:cs="Comfortaa" w:eastAsia="Comfortaa" w:hAnsi="Comfortaa"/>
          <w:b w:val="1"/>
          <w:sz w:val="20"/>
          <w:szCs w:val="20"/>
          <w:rtl w:val="0"/>
        </w:rPr>
        <w:t xml:space="preserve">(</w:t>
      </w:r>
      <w:hyperlink r:id="rId7">
        <w:r w:rsidDel="00000000" w:rsidR="00000000" w:rsidRPr="00000000">
          <w:rPr>
            <w:rFonts w:ascii="Comfortaa" w:cs="Comfortaa" w:eastAsia="Comfortaa" w:hAnsi="Comfortaa"/>
            <w:color w:val="1155cc"/>
            <w:sz w:val="20"/>
            <w:szCs w:val="20"/>
            <w:u w:val="single"/>
            <w:rtl w:val="0"/>
          </w:rPr>
          <w:t xml:space="preserve">https://chem.libretexts.org/link?214153</w:t>
        </w:r>
      </w:hyperlink>
      <w:r w:rsidDel="00000000" w:rsidR="00000000" w:rsidRPr="00000000">
        <w:rPr>
          <w:rFonts w:ascii="Comfortaa" w:cs="Comfortaa" w:eastAsia="Comfortaa" w:hAnsi="Comfortaa"/>
          <w:sz w:val="20"/>
          <w:szCs w:val="20"/>
          <w:rtl w:val="0"/>
        </w:rPr>
        <w:t xml:space="preserve">)</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spacing w:line="276"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Please don’t edit, rearrange or delete anything that is already in this document. Just fill in the answers.</w:t>
      </w:r>
    </w:p>
    <w:p w:rsidR="00000000" w:rsidDel="00000000" w:rsidP="00000000" w:rsidRDefault="00000000" w:rsidRPr="00000000" w14:paraId="0000000C">
      <w:pPr>
        <w:spacing w:line="276" w:lineRule="auto"/>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Shortcuts for superscripts and subscripts:</w:t>
      </w:r>
    </w:p>
    <w:p w:rsidR="00000000" w:rsidDel="00000000" w:rsidP="00000000" w:rsidRDefault="00000000" w:rsidRPr="00000000" w14:paraId="0000000D">
      <w:pPr>
        <w:spacing w:line="276" w:lineRule="auto"/>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Pr>
        <w:drawing>
          <wp:inline distB="114300" distT="114300" distL="114300" distR="114300">
            <wp:extent cx="2162175" cy="5524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6217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shd w:fill="ffffff" w:val="clear"/>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This is the first Virtual Lab of the semester.  Your goal is to become familiar with the virtual lab that was developed by the Chemcollective of Carnegie Mellon University and then use the lab to determine the lead concentration of an unknown solution. </w:t>
      </w:r>
    </w:p>
    <w:p w:rsidR="00000000" w:rsidDel="00000000" w:rsidP="00000000" w:rsidRDefault="00000000" w:rsidRPr="00000000" w14:paraId="00000010">
      <w:pPr>
        <w:shd w:fill="ffffff" w:val="clea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1">
      <w:pPr>
        <w:shd w:fill="ffffff" w:val="clear"/>
        <w:jc w:val="left"/>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Part I</w:t>
      </w:r>
    </w:p>
    <w:p w:rsidR="00000000" w:rsidDel="00000000" w:rsidP="00000000" w:rsidRDefault="00000000" w:rsidRPr="00000000" w14:paraId="00000012">
      <w:pPr>
        <w:shd w:fill="ffffff" w:val="clea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3">
      <w:pPr>
        <w:shd w:fill="ffffff" w:val="clear"/>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1. Unknown Assignments: Each group is to identify the concentration of their unknown lead solution.</w:t>
      </w:r>
    </w:p>
    <w:p w:rsidR="00000000" w:rsidDel="00000000" w:rsidP="00000000" w:rsidRDefault="00000000" w:rsidRPr="00000000" w14:paraId="00000014">
      <w:pPr>
        <w:shd w:fill="ffffff" w:val="clear"/>
        <w:jc w:val="left"/>
        <w:rPr>
          <w:rFonts w:ascii="Comfortaa" w:cs="Comfortaa" w:eastAsia="Comfortaa" w:hAnsi="Comfortaa"/>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Group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shd w:fill="ffffff" w:val="clear"/>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hd w:fill="ffffff" w:val="clea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Solution 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hd w:fill="ffffff" w:val="clea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Solution 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hd w:fill="ffffff" w:val="clea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Solution 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hd w:fill="ffffff" w:val="clea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Solution E</w:t>
            </w:r>
          </w:p>
        </w:tc>
      </w:tr>
    </w:tbl>
    <w:p w:rsidR="00000000" w:rsidDel="00000000" w:rsidP="00000000" w:rsidRDefault="00000000" w:rsidRPr="00000000" w14:paraId="0000001F">
      <w:pPr>
        <w:shd w:fill="ffffff" w:val="clea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0">
      <w:pPr>
        <w:shd w:fill="ffffff" w:val="clear"/>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1">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Review </w:t>
      </w:r>
      <w:hyperlink r:id="rId9">
        <w:r w:rsidDel="00000000" w:rsidR="00000000" w:rsidRPr="00000000">
          <w:rPr>
            <w:rFonts w:ascii="Comfortaa" w:cs="Comfortaa" w:eastAsia="Comfortaa" w:hAnsi="Comfortaa"/>
            <w:color w:val="1155cc"/>
            <w:sz w:val="24"/>
            <w:szCs w:val="24"/>
            <w:u w:val="single"/>
            <w:rtl w:val="0"/>
          </w:rPr>
          <w:t xml:space="preserve">LibreText section</w:t>
        </w:r>
      </w:hyperlink>
      <w:r w:rsidDel="00000000" w:rsidR="00000000" w:rsidRPr="00000000">
        <w:rPr>
          <w:rFonts w:ascii="Comfortaa" w:cs="Comfortaa" w:eastAsia="Comfortaa" w:hAnsi="Comfortaa"/>
          <w:sz w:val="24"/>
          <w:szCs w:val="24"/>
          <w:rtl w:val="0"/>
        </w:rPr>
        <w:t xml:space="preserve"> on gravimetric Analysis of Lead using sodium phosphate (</w:t>
      </w:r>
      <w:hyperlink r:id="rId10">
        <w:r w:rsidDel="00000000" w:rsidR="00000000" w:rsidRPr="00000000">
          <w:rPr>
            <w:rFonts w:ascii="Comfortaa" w:cs="Comfortaa" w:eastAsia="Comfortaa" w:hAnsi="Comfortaa"/>
            <w:color w:val="1155cc"/>
            <w:sz w:val="24"/>
            <w:szCs w:val="24"/>
            <w:u w:val="single"/>
            <w:rtl w:val="0"/>
          </w:rPr>
          <w:t xml:space="preserve">https://chem.libretexts.org/link?51456</w:t>
        </w:r>
      </w:hyperlink>
      <w:r w:rsidDel="00000000" w:rsidR="00000000" w:rsidRPr="00000000">
        <w:rPr>
          <w:rFonts w:ascii="Comfortaa" w:cs="Comfortaa" w:eastAsia="Comfortaa" w:hAnsi="Comfortaa"/>
          <w:sz w:val="24"/>
          <w:szCs w:val="24"/>
          <w:rtl w:val="0"/>
        </w:rPr>
        <w:t xml:space="preserve">).  In that section they added sodium phosphate to an unknown lead solution and precipitated out lead (II)phosphate.  You will use the virtual lab and sodium chloride. </w:t>
      </w:r>
    </w:p>
    <w:p w:rsidR="00000000" w:rsidDel="00000000" w:rsidP="00000000" w:rsidRDefault="00000000" w:rsidRPr="00000000" w14:paraId="00000022">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4">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Watch the following </w:t>
      </w:r>
      <w:hyperlink r:id="rId11">
        <w:r w:rsidDel="00000000" w:rsidR="00000000" w:rsidRPr="00000000">
          <w:rPr>
            <w:rFonts w:ascii="Comfortaa" w:cs="Comfortaa" w:eastAsia="Comfortaa" w:hAnsi="Comfortaa"/>
            <w:color w:val="1155cc"/>
            <w:sz w:val="24"/>
            <w:szCs w:val="24"/>
            <w:u w:val="single"/>
            <w:rtl w:val="0"/>
          </w:rPr>
          <w:t xml:space="preserve">video</w:t>
        </w:r>
      </w:hyperlink>
      <w:r w:rsidDel="00000000" w:rsidR="00000000" w:rsidRPr="00000000">
        <w:rPr>
          <w:rFonts w:ascii="Comfortaa" w:cs="Comfortaa" w:eastAsia="Comfortaa" w:hAnsi="Comfortaa"/>
          <w:sz w:val="24"/>
          <w:szCs w:val="24"/>
          <w:rtl w:val="0"/>
        </w:rPr>
        <w:t xml:space="preserve"> to become familiar with the virtual lab</w:t>
      </w:r>
    </w:p>
    <w:p w:rsidR="00000000" w:rsidDel="00000000" w:rsidP="00000000" w:rsidRDefault="00000000" w:rsidRPr="00000000" w14:paraId="00000025">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t>
      </w:r>
      <w:hyperlink r:id="rId12">
        <w:r w:rsidDel="00000000" w:rsidR="00000000" w:rsidRPr="00000000">
          <w:rPr>
            <w:rFonts w:ascii="Comfortaa" w:cs="Comfortaa" w:eastAsia="Comfortaa" w:hAnsi="Comfortaa"/>
            <w:color w:val="1155cc"/>
            <w:sz w:val="24"/>
            <w:szCs w:val="24"/>
            <w:u w:val="single"/>
            <w:rtl w:val="0"/>
          </w:rPr>
          <w:t xml:space="preserve">http://www.chemcollective.org/chem/common/vlab_walkthrouh_html5.php</w:t>
        </w:r>
      </w:hyperlink>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26">
      <w:pPr>
        <w:shd w:fill="ffffff" w:val="clea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7">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w:t>
      </w:r>
      <w:r w:rsidDel="00000000" w:rsidR="00000000" w:rsidRPr="00000000">
        <w:rPr>
          <w:rFonts w:ascii="Comfortaa" w:cs="Comfortaa" w:eastAsia="Comfortaa" w:hAnsi="Comfortaa"/>
          <w:sz w:val="24"/>
          <w:szCs w:val="24"/>
          <w:rtl w:val="0"/>
        </w:rPr>
        <w:t xml:space="preserve">You may wish to review the solubility rules before designing this experiment. In addition to your unknowns, the "Gravimetric Analysis Lab" contains 2M potassium chromate and 4M sodium chloride.</w:t>
      </w:r>
      <w:r w:rsidDel="00000000" w:rsidR="00000000" w:rsidRPr="00000000">
        <w:rPr>
          <w:rFonts w:ascii="Comfortaa" w:cs="Comfortaa" w:eastAsia="Comfortaa" w:hAnsi="Comfortaa"/>
          <w:b w:val="1"/>
          <w:color w:val="ff0000"/>
          <w:sz w:val="24"/>
          <w:szCs w:val="24"/>
          <w:rtl w:val="0"/>
        </w:rPr>
        <w:t xml:space="preserve"> You are required to use 4M sodium chloride. </w:t>
      </w:r>
      <w:r w:rsidDel="00000000" w:rsidR="00000000" w:rsidRPr="00000000">
        <w:rPr>
          <w:rFonts w:ascii="Comfortaa" w:cs="Comfortaa" w:eastAsia="Comfortaa" w:hAnsi="Comfortaa"/>
          <w:sz w:val="24"/>
          <w:szCs w:val="24"/>
          <w:rtl w:val="0"/>
        </w:rPr>
        <w:t xml:space="preserve"> Also, the aqueous species viewer has been disabled and the solid species viewer has been enabled, this allows you to determine the mass and identity of any precipitates formed, but prevents you from directly reading the concentrations.</w:t>
      </w:r>
    </w:p>
    <w:p w:rsidR="00000000" w:rsidDel="00000000" w:rsidP="00000000" w:rsidRDefault="00000000" w:rsidRPr="00000000" w14:paraId="00000028">
      <w:pPr>
        <w:shd w:fill="ffffff" w:val="clea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2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Go to </w:t>
      </w:r>
      <w:hyperlink r:id="rId13">
        <w:r w:rsidDel="00000000" w:rsidR="00000000" w:rsidRPr="00000000">
          <w:rPr>
            <w:rFonts w:ascii="Comfortaa" w:cs="Comfortaa" w:eastAsia="Comfortaa" w:hAnsi="Comfortaa"/>
            <w:color w:val="1155cc"/>
            <w:sz w:val="24"/>
            <w:szCs w:val="24"/>
            <w:u w:val="single"/>
            <w:rtl w:val="0"/>
          </w:rPr>
          <w:t xml:space="preserve">Virtual Exercise 4.7.1</w:t>
        </w:r>
      </w:hyperlink>
      <w:r w:rsidDel="00000000" w:rsidR="00000000" w:rsidRPr="00000000">
        <w:rPr>
          <w:rFonts w:ascii="Comfortaa" w:cs="Comfortaa" w:eastAsia="Comfortaa" w:hAnsi="Comfortaa"/>
          <w:sz w:val="24"/>
          <w:szCs w:val="24"/>
          <w:rtl w:val="0"/>
        </w:rPr>
        <w:t xml:space="preserve">,</w:t>
      </w:r>
      <w:r w:rsidDel="00000000" w:rsidR="00000000" w:rsidRPr="00000000">
        <w:rPr>
          <w:rFonts w:ascii="Comfortaa" w:cs="Comfortaa" w:eastAsia="Comfortaa" w:hAnsi="Comfortaa"/>
          <w:sz w:val="24"/>
          <w:szCs w:val="24"/>
          <w:rtl w:val="0"/>
        </w:rPr>
        <w:t xml:space="preserve"> which uses potassium chromate to calculate the lead concentration and adopt these to the use of sodium chloride.  You may also want to analyze the data in Exercise 4.7.1 Arsenic in Ground Water.</w:t>
      </w:r>
    </w:p>
    <w:p w:rsidR="00000000" w:rsidDel="00000000" w:rsidP="00000000" w:rsidRDefault="00000000" w:rsidRPr="00000000" w14:paraId="0000002A">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rtl w:val="0"/>
        </w:rPr>
        <w:t xml:space="preserve">5. </w:t>
      </w:r>
      <w:r w:rsidDel="00000000" w:rsidR="00000000" w:rsidRPr="00000000">
        <w:rPr>
          <w:rFonts w:ascii="Comfortaa" w:cs="Comfortaa" w:eastAsia="Comfortaa" w:hAnsi="Comfortaa"/>
          <w:sz w:val="24"/>
          <w:szCs w:val="24"/>
          <w:highlight w:val="white"/>
          <w:rtl w:val="0"/>
        </w:rPr>
        <w:t xml:space="preserve">In 1980 lead(II)acetate was listed as safe for use in cosmetics like hair color products has been used in products like Grecian Formula (Figure 4.7.2), and the FDA repealed is approval for use on October 30, 2018 for health concerns with the ban supposed to go into effect on December 3, 2018. The ban had a 30 day appeal period for anyone "adversely affected" by the ban and the manufacturer, Combe company requested a hearing claiming it was safe, and now the ban is on hold until this is resolved (see the </w:t>
      </w:r>
      <w:hyperlink r:id="rId14">
        <w:r w:rsidDel="00000000" w:rsidR="00000000" w:rsidRPr="00000000">
          <w:rPr>
            <w:rFonts w:ascii="Comfortaa" w:cs="Comfortaa" w:eastAsia="Comfortaa" w:hAnsi="Comfortaa"/>
            <w:color w:val="1155cc"/>
            <w:sz w:val="24"/>
            <w:szCs w:val="24"/>
            <w:highlight w:val="white"/>
            <w:u w:val="single"/>
            <w:rtl w:val="0"/>
          </w:rPr>
          <w:t xml:space="preserve">US FDA announcement</w:t>
        </w:r>
      </w:hyperlink>
      <w:r w:rsidDel="00000000" w:rsidR="00000000" w:rsidRPr="00000000">
        <w:rPr>
          <w:rFonts w:ascii="Comfortaa" w:cs="Comfortaa" w:eastAsia="Comfortaa" w:hAnsi="Comfortaa"/>
          <w:sz w:val="24"/>
          <w:szCs w:val="24"/>
          <w:highlight w:val="white"/>
          <w:rtl w:val="0"/>
        </w:rPr>
        <w:t xml:space="preserve"> and </w:t>
      </w:r>
      <w:hyperlink r:id="rId15">
        <w:r w:rsidDel="00000000" w:rsidR="00000000" w:rsidRPr="00000000">
          <w:rPr>
            <w:rFonts w:ascii="Comfortaa" w:cs="Comfortaa" w:eastAsia="Comfortaa" w:hAnsi="Comfortaa"/>
            <w:color w:val="1155cc"/>
            <w:sz w:val="24"/>
            <w:szCs w:val="24"/>
            <w:highlight w:val="white"/>
            <w:u w:val="single"/>
            <w:rtl w:val="0"/>
          </w:rPr>
          <w:t xml:space="preserve">Jan. 9, 2019 Consumer Report</w:t>
        </w:r>
      </w:hyperlink>
      <w:r w:rsidDel="00000000" w:rsidR="00000000" w:rsidRPr="00000000">
        <w:rPr>
          <w:rFonts w:ascii="Comfortaa" w:cs="Comfortaa" w:eastAsia="Comfortaa" w:hAnsi="Comfortaa"/>
          <w:sz w:val="24"/>
          <w:szCs w:val="24"/>
          <w:highlight w:val="white"/>
          <w:rtl w:val="0"/>
        </w:rPr>
        <w:t xml:space="preserve">).</w:t>
      </w:r>
      <w:r w:rsidDel="00000000" w:rsidR="00000000" w:rsidRPr="00000000">
        <w:drawing>
          <wp:anchor allowOverlap="1" behindDoc="0" distB="114300" distT="114300" distL="114300" distR="114300" hidden="0" layoutInCell="1" locked="0" relativeHeight="0" simplePos="0">
            <wp:simplePos x="0" y="0"/>
            <wp:positionH relativeFrom="column">
              <wp:posOffset>1905000</wp:posOffset>
            </wp:positionH>
            <wp:positionV relativeFrom="paragraph">
              <wp:posOffset>466725</wp:posOffset>
            </wp:positionV>
            <wp:extent cx="4138613" cy="3107615"/>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4138613" cy="3107615"/>
                    </a:xfrm>
                    <a:prstGeom prst="rect"/>
                    <a:ln/>
                  </pic:spPr>
                </pic:pic>
              </a:graphicData>
            </a:graphic>
          </wp:anchor>
        </w:drawing>
      </w:r>
    </w:p>
    <w:p w:rsidR="00000000" w:rsidDel="00000000" w:rsidP="00000000" w:rsidRDefault="00000000" w:rsidRPr="00000000" w14:paraId="0000002C">
      <w:pPr>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D">
      <w:pPr>
        <w:rPr>
          <w:rFonts w:ascii="Comfortaa" w:cs="Comfortaa" w:eastAsia="Comfortaa" w:hAnsi="Comfortaa"/>
          <w:b w:val="1"/>
          <w:color w:val="ff0000"/>
          <w:sz w:val="24"/>
          <w:szCs w:val="24"/>
        </w:rPr>
      </w:pPr>
      <w:r w:rsidDel="00000000" w:rsidR="00000000" w:rsidRPr="00000000">
        <w:rPr>
          <w:rFonts w:ascii="Comfortaa" w:cs="Comfortaa" w:eastAsia="Comfortaa" w:hAnsi="Comfortaa"/>
          <w:b w:val="1"/>
          <w:sz w:val="24"/>
          <w:szCs w:val="24"/>
          <w:rtl w:val="0"/>
        </w:rPr>
        <w:t xml:space="preserve">Part II:</w:t>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b w:val="1"/>
          <w:color w:val="ff0000"/>
          <w:sz w:val="24"/>
          <w:szCs w:val="24"/>
          <w:rtl w:val="0"/>
        </w:rPr>
        <w:t xml:space="preserve">GROUP ASSIGNMENT</w:t>
      </w:r>
    </w:p>
    <w:p w:rsidR="00000000" w:rsidDel="00000000" w:rsidP="00000000" w:rsidRDefault="00000000" w:rsidRPr="00000000" w14:paraId="0000002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F">
      <w:pPr>
        <w:numPr>
          <w:ilvl w:val="0"/>
          <w:numId w:val="1"/>
        </w:numPr>
        <w:ind w:left="108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Explain how you were able to determine that all the lead was removed from the water. [</w:t>
      </w:r>
      <w:r w:rsidDel="00000000" w:rsidR="00000000" w:rsidRPr="00000000">
        <w:rPr>
          <w:rFonts w:ascii="Comfortaa" w:cs="Comfortaa" w:eastAsia="Comfortaa" w:hAnsi="Comfortaa"/>
          <w:b w:val="1"/>
          <w:sz w:val="24"/>
          <w:szCs w:val="24"/>
          <w:rtl w:val="0"/>
        </w:rPr>
        <w:t xml:space="preserve">You MUST use the following keywords</w:t>
      </w:r>
      <w:r w:rsidDel="00000000" w:rsidR="00000000" w:rsidRPr="00000000">
        <w:rPr>
          <w:rFonts w:ascii="Comfortaa" w:cs="Comfortaa" w:eastAsia="Comfortaa" w:hAnsi="Comfortaa"/>
          <w:b w:val="1"/>
          <w:sz w:val="24"/>
          <w:szCs w:val="24"/>
          <w:rtl w:val="0"/>
        </w:rPr>
        <w:t xml:space="preserve"> in answering this question: sodium chloride, lead chloride, Pb</w:t>
      </w:r>
      <w:r w:rsidDel="00000000" w:rsidR="00000000" w:rsidRPr="00000000">
        <w:rPr>
          <w:rFonts w:ascii="Comfortaa" w:cs="Comfortaa" w:eastAsia="Comfortaa" w:hAnsi="Comfortaa"/>
          <w:b w:val="1"/>
          <w:sz w:val="24"/>
          <w:szCs w:val="24"/>
          <w:vertAlign w:val="superscript"/>
          <w:rtl w:val="0"/>
        </w:rPr>
        <w:t xml:space="preserve">+2</w:t>
      </w:r>
      <w:r w:rsidDel="00000000" w:rsidR="00000000" w:rsidRPr="00000000">
        <w:rPr>
          <w:rFonts w:ascii="Comfortaa" w:cs="Comfortaa" w:eastAsia="Comfortaa" w:hAnsi="Comfortaa"/>
          <w:b w:val="1"/>
          <w:sz w:val="24"/>
          <w:szCs w:val="24"/>
          <w:rtl w:val="0"/>
        </w:rPr>
        <w:t xml:space="preserve">(aq), precipitate, limiting reagent, excess reagent</w:t>
      </w:r>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30">
      <w:pPr>
        <w:rPr>
          <w:rFonts w:ascii="Comfortaa" w:cs="Comfortaa" w:eastAsia="Comfortaa" w:hAnsi="Comfortaa"/>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3">
      <w:pPr>
        <w:numPr>
          <w:ilvl w:val="0"/>
          <w:numId w:val="1"/>
        </w:numPr>
        <w:ind w:left="108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units of grams per liter.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6">
      <w:pPr>
        <w:numPr>
          <w:ilvl w:val="0"/>
          <w:numId w:val="1"/>
        </w:numPr>
        <w:ind w:left="108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units of molarity.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8">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9">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A">
      <w:pPr>
        <w:rPr>
          <w:rFonts w:ascii="Comfortaa" w:cs="Comfortaa" w:eastAsia="Comfortaa" w:hAnsi="Comfortaa"/>
          <w:b w:val="1"/>
          <w:color w:val="ff0000"/>
          <w:sz w:val="24"/>
          <w:szCs w:val="24"/>
        </w:rPr>
      </w:pPr>
      <w:r w:rsidDel="00000000" w:rsidR="00000000" w:rsidRPr="00000000">
        <w:rPr>
          <w:rFonts w:ascii="Comfortaa" w:cs="Comfortaa" w:eastAsia="Comfortaa" w:hAnsi="Comfortaa"/>
          <w:b w:val="1"/>
          <w:sz w:val="24"/>
          <w:szCs w:val="24"/>
          <w:rtl w:val="0"/>
        </w:rPr>
        <w:t xml:space="preserve">Part III:</w:t>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b w:val="1"/>
          <w:color w:val="ff0000"/>
          <w:sz w:val="24"/>
          <w:szCs w:val="24"/>
          <w:rtl w:val="0"/>
        </w:rPr>
        <w:t xml:space="preserve">INDIVIDUAL ASSIGNMENT</w:t>
      </w:r>
    </w:p>
    <w:p w:rsidR="00000000" w:rsidDel="00000000" w:rsidP="00000000" w:rsidRDefault="00000000" w:rsidRPr="00000000" w14:paraId="0000003B">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You will be assigned Unknowns individually via email. Make sure to check it prior to this lab. </w:t>
      </w:r>
    </w:p>
    <w:p w:rsidR="00000000" w:rsidDel="00000000" w:rsidP="00000000" w:rsidRDefault="00000000" w:rsidRPr="00000000" w14:paraId="0000003D">
      <w:pPr>
        <w:rPr>
          <w:rFonts w:ascii="Comfortaa" w:cs="Comfortaa" w:eastAsia="Comfortaa" w:hAnsi="Comfortaa"/>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Type your name here</w:t>
            </w:r>
          </w:p>
        </w:tc>
      </w:tr>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2">
      <w:pPr>
        <w:rPr>
          <w:rFonts w:ascii="Comfortaa" w:cs="Comfortaa" w:eastAsia="Comfortaa" w:hAnsi="Comfortaa"/>
        </w:rPr>
      </w:pPr>
      <w:r w:rsidDel="00000000" w:rsidR="00000000" w:rsidRPr="00000000">
        <w:rPr>
          <w:rtl w:val="0"/>
        </w:rPr>
      </w:r>
    </w:p>
    <w:p w:rsidR="00000000" w:rsidDel="00000000" w:rsidP="00000000" w:rsidRDefault="00000000" w:rsidRPr="00000000" w14:paraId="00000043">
      <w:pPr>
        <w:rPr>
          <w:rFonts w:ascii="Comfortaa" w:cs="Comfortaa" w:eastAsia="Comfortaa" w:hAnsi="Comfortaa"/>
        </w:rPr>
      </w:pPr>
      <w:r w:rsidDel="00000000" w:rsidR="00000000" w:rsidRPr="00000000">
        <w:rPr>
          <w:rtl w:val="0"/>
        </w:rPr>
      </w:r>
    </w:p>
    <w:p w:rsidR="00000000" w:rsidDel="00000000" w:rsidP="00000000" w:rsidRDefault="00000000" w:rsidRPr="00000000" w14:paraId="00000044">
      <w:pPr>
        <w:ind w:left="0" w:firstLine="0"/>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w:t>
      </w:r>
      <w:r w:rsidDel="00000000" w:rsidR="00000000" w:rsidRPr="00000000">
        <w:rPr>
          <w:rFonts w:ascii="Comfortaa" w:cs="Comfortaa" w:eastAsia="Comfortaa" w:hAnsi="Comfortaa"/>
          <w:b w:val="1"/>
          <w:sz w:val="24"/>
          <w:szCs w:val="24"/>
          <w:rtl w:val="0"/>
        </w:rPr>
        <w:t xml:space="preserve">units of molarity. </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46">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7">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8">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9">
      <w:pPr>
        <w:rPr>
          <w:rFonts w:ascii="Comfortaa" w:cs="Comfortaa" w:eastAsia="Comfortaa" w:hAnsi="Comfortaa"/>
          <w:b w:val="1"/>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Type your name here</w:t>
            </w:r>
          </w:p>
        </w:tc>
      </w:tr>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E">
      <w:pPr>
        <w:rPr>
          <w:rFonts w:ascii="Comfortaa" w:cs="Comfortaa" w:eastAsia="Comfortaa" w:hAnsi="Comfortaa"/>
        </w:rPr>
      </w:pPr>
      <w:r w:rsidDel="00000000" w:rsidR="00000000" w:rsidRPr="00000000">
        <w:rPr>
          <w:rtl w:val="0"/>
        </w:rPr>
      </w:r>
    </w:p>
    <w:p w:rsidR="00000000" w:rsidDel="00000000" w:rsidP="00000000" w:rsidRDefault="00000000" w:rsidRPr="00000000" w14:paraId="0000004F">
      <w:pPr>
        <w:rPr>
          <w:rFonts w:ascii="Comfortaa" w:cs="Comfortaa" w:eastAsia="Comfortaa" w:hAnsi="Comfortaa"/>
        </w:rPr>
      </w:pPr>
      <w:r w:rsidDel="00000000" w:rsidR="00000000" w:rsidRPr="00000000">
        <w:rPr>
          <w:rtl w:val="0"/>
        </w:rPr>
      </w:r>
    </w:p>
    <w:p w:rsidR="00000000" w:rsidDel="00000000" w:rsidP="00000000" w:rsidRDefault="00000000" w:rsidRPr="00000000" w14:paraId="00000050">
      <w:pPr>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w:t>
      </w:r>
      <w:r w:rsidDel="00000000" w:rsidR="00000000" w:rsidRPr="00000000">
        <w:rPr>
          <w:rFonts w:ascii="Comfortaa" w:cs="Comfortaa" w:eastAsia="Comfortaa" w:hAnsi="Comfortaa"/>
          <w:b w:val="1"/>
          <w:sz w:val="24"/>
          <w:szCs w:val="24"/>
          <w:rtl w:val="0"/>
        </w:rPr>
        <w:t xml:space="preserve">units of molarity. </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2">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3">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4">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5">
      <w:pPr>
        <w:rPr>
          <w:rFonts w:ascii="Comfortaa" w:cs="Comfortaa" w:eastAsia="Comfortaa" w:hAnsi="Comfortaa"/>
          <w:b w:val="1"/>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Type your name here</w:t>
            </w:r>
          </w:p>
        </w:tc>
      </w:tr>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5A">
      <w:pPr>
        <w:rPr>
          <w:rFonts w:ascii="Comfortaa" w:cs="Comfortaa" w:eastAsia="Comfortaa" w:hAnsi="Comfortaa"/>
        </w:rPr>
      </w:pPr>
      <w:r w:rsidDel="00000000" w:rsidR="00000000" w:rsidRPr="00000000">
        <w:rPr>
          <w:rtl w:val="0"/>
        </w:rPr>
      </w:r>
    </w:p>
    <w:p w:rsidR="00000000" w:rsidDel="00000000" w:rsidP="00000000" w:rsidRDefault="00000000" w:rsidRPr="00000000" w14:paraId="0000005B">
      <w:pPr>
        <w:rPr>
          <w:rFonts w:ascii="Comfortaa" w:cs="Comfortaa" w:eastAsia="Comfortaa" w:hAnsi="Comfortaa"/>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w:t>
      </w:r>
      <w:r w:rsidDel="00000000" w:rsidR="00000000" w:rsidRPr="00000000">
        <w:rPr>
          <w:rFonts w:ascii="Comfortaa" w:cs="Comfortaa" w:eastAsia="Comfortaa" w:hAnsi="Comfortaa"/>
          <w:b w:val="1"/>
          <w:sz w:val="24"/>
          <w:szCs w:val="24"/>
          <w:rtl w:val="0"/>
        </w:rPr>
        <w:t xml:space="preserve">units of molarity. </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E">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F">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0">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1">
      <w:pPr>
        <w:rPr>
          <w:rFonts w:ascii="Comfortaa" w:cs="Comfortaa" w:eastAsia="Comfortaa" w:hAnsi="Comfortaa"/>
          <w:b w:val="1"/>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Type your name here</w:t>
            </w:r>
          </w:p>
        </w:tc>
      </w:tr>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66">
      <w:pPr>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rPr>
          <w:rFonts w:ascii="Comfortaa" w:cs="Comfortaa" w:eastAsia="Comfortaa" w:hAnsi="Comfortaa"/>
        </w:rPr>
      </w:pPr>
      <w:r w:rsidDel="00000000" w:rsidR="00000000" w:rsidRPr="00000000">
        <w:rPr>
          <w:rtl w:val="0"/>
        </w:rPr>
      </w:r>
    </w:p>
    <w:p w:rsidR="00000000" w:rsidDel="00000000" w:rsidP="00000000" w:rsidRDefault="00000000" w:rsidRPr="00000000" w14:paraId="00000068">
      <w:pPr>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w:t>
      </w:r>
      <w:r w:rsidDel="00000000" w:rsidR="00000000" w:rsidRPr="00000000">
        <w:rPr>
          <w:rFonts w:ascii="Comfortaa" w:cs="Comfortaa" w:eastAsia="Comfortaa" w:hAnsi="Comfortaa"/>
          <w:b w:val="1"/>
          <w:sz w:val="24"/>
          <w:szCs w:val="24"/>
          <w:rtl w:val="0"/>
        </w:rPr>
        <w:t xml:space="preserve">units of molarity. </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6A">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B">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C">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D">
      <w:pPr>
        <w:rPr>
          <w:rFonts w:ascii="Comfortaa" w:cs="Comfortaa" w:eastAsia="Comfortaa" w:hAnsi="Comfortaa"/>
          <w:b w:val="1"/>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7470"/>
        <w:tblGridChange w:id="0">
          <w:tblGrid>
            <w:gridCol w:w="1890"/>
            <w:gridCol w:w="747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Student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omfortaa" w:cs="Comfortaa" w:eastAsia="Comfortaa" w:hAnsi="Comfortaa"/>
              </w:rPr>
            </w:pPr>
            <w:r w:rsidDel="00000000" w:rsidR="00000000" w:rsidRPr="00000000">
              <w:rPr>
                <w:rFonts w:ascii="Comfortaa" w:cs="Comfortaa" w:eastAsia="Comfortaa" w:hAnsi="Comfortaa"/>
                <w:rtl w:val="0"/>
              </w:rPr>
              <w:t xml:space="preserve">Type your name here</w:t>
            </w:r>
          </w:p>
        </w:tc>
      </w:tr>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Unknown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72">
      <w:pPr>
        <w:rPr>
          <w:rFonts w:ascii="Comfortaa" w:cs="Comfortaa" w:eastAsia="Comfortaa" w:hAnsi="Comfortaa"/>
        </w:rPr>
      </w:pPr>
      <w:r w:rsidDel="00000000" w:rsidR="00000000" w:rsidRPr="00000000">
        <w:rPr>
          <w:rtl w:val="0"/>
        </w:rPr>
      </w:r>
    </w:p>
    <w:p w:rsidR="00000000" w:rsidDel="00000000" w:rsidP="00000000" w:rsidRDefault="00000000" w:rsidRPr="00000000" w14:paraId="00000073">
      <w:pPr>
        <w:rPr>
          <w:rFonts w:ascii="Comfortaa" w:cs="Comfortaa" w:eastAsia="Comfortaa" w:hAnsi="Comfortaa"/>
        </w:rPr>
      </w:pPr>
      <w:r w:rsidDel="00000000" w:rsidR="00000000" w:rsidRPr="00000000">
        <w:rPr>
          <w:rtl w:val="0"/>
        </w:rPr>
      </w:r>
    </w:p>
    <w:p w:rsidR="00000000" w:rsidDel="00000000" w:rsidP="00000000" w:rsidRDefault="00000000" w:rsidRPr="00000000" w14:paraId="00000074">
      <w:pPr>
        <w:rPr>
          <w:rFonts w:ascii="Comfortaa" w:cs="Comfortaa" w:eastAsia="Comfortaa" w:hAnsi="Comfortaa"/>
          <w:b w:val="1"/>
          <w:sz w:val="24"/>
          <w:szCs w:val="24"/>
        </w:rPr>
      </w:pPr>
      <w:r w:rsidDel="00000000" w:rsidR="00000000" w:rsidRPr="00000000">
        <w:rPr>
          <w:rFonts w:ascii="Comfortaa" w:cs="Comfortaa" w:eastAsia="Comfortaa" w:hAnsi="Comfortaa"/>
          <w:sz w:val="24"/>
          <w:szCs w:val="24"/>
          <w:rtl w:val="0"/>
        </w:rPr>
        <w:t xml:space="preserve">Report the concentration of the lead ion in your unknown solution in </w:t>
      </w:r>
      <w:r w:rsidDel="00000000" w:rsidR="00000000" w:rsidRPr="00000000">
        <w:rPr>
          <w:rFonts w:ascii="Comfortaa" w:cs="Comfortaa" w:eastAsia="Comfortaa" w:hAnsi="Comfortaa"/>
          <w:b w:val="1"/>
          <w:sz w:val="24"/>
          <w:szCs w:val="24"/>
          <w:rtl w:val="0"/>
        </w:rPr>
        <w:t xml:space="preserve">units of molarity. </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76">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77">
      <w:pPr>
        <w:rPr>
          <w:rFonts w:ascii="Comfortaa" w:cs="Comfortaa" w:eastAsia="Comfortaa" w:hAnsi="Comforta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hemcollective.org/chem/common/vlab_walkthrouh_html5.php" TargetMode="External"/><Relationship Id="rId10" Type="http://schemas.openxmlformats.org/officeDocument/2006/relationships/hyperlink" Target="https://chem.libretexts.org/link?51456" TargetMode="External"/><Relationship Id="rId13" Type="http://schemas.openxmlformats.org/officeDocument/2006/relationships/hyperlink" Target="https://chem.libretexts.org/Courses/University_of_Arkansas_Little_Rock/Chem_1402%3A_General_Chemistry_1_(Belford)/Text/4%3A_Stoichiometry%3A_Quantitative_Information_about_Chemical_Reactions/4.7%3A_Chemical_Equations_and_Quantitative_Analysis#VL1" TargetMode="External"/><Relationship Id="rId12" Type="http://schemas.openxmlformats.org/officeDocument/2006/relationships/hyperlink" Target="http://www.chemcollective.org/chem/common/vlab_walkthrouh_html5.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em.libretexts.org/Courses/University_of_Arkansas_Little_Rock/Chem_1402%3A_General_Chemistry_1_(Belford)/Text/4%3A_Stoichiometry%3A_Quantitative_Information_about_Chemical_Reactions/4.7%3A_Chemical_Equations_and_Quantitative_Analysis" TargetMode="External"/><Relationship Id="rId15" Type="http://schemas.openxmlformats.org/officeDocument/2006/relationships/hyperlink" Target="https://www.consumerreports.org/lead/removing-lead-acetate-from-hair-dye/" TargetMode="External"/><Relationship Id="rId14" Type="http://schemas.openxmlformats.org/officeDocument/2006/relationships/hyperlink" Target="https://www.fda.gov/cosmetics/cosmetic-products/lead-acetate-progressive-hair-dye-products"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chem.libretexts.org/Courses/University_of_Arkansas_Little_Rock/Chem_1402%3A_General_Chemistry_1_(Belford)/Laboratory/04%3A_Experiment_4_-_Chemical_Reactions" TargetMode="External"/><Relationship Id="rId7" Type="http://schemas.openxmlformats.org/officeDocument/2006/relationships/hyperlink" Target="https://chem.libretexts.org/link?214153"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