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4"/>
          <w:szCs w:val="24"/>
        </w:rPr>
      </w:pPr>
      <w:r w:rsidDel="00000000" w:rsidR="00000000" w:rsidRPr="00000000">
        <w:rPr>
          <w:i w:val="1"/>
          <w:sz w:val="24"/>
          <w:szCs w:val="24"/>
          <w:rtl w:val="0"/>
        </w:rPr>
        <w:t xml:space="preserve">Identifying Generalizations and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20" w:lineRule="auto"/>
        <w:contextualSpacing w:val="0"/>
        <w:rPr>
          <w:color w:val="333333"/>
          <w:sz w:val="24"/>
          <w:szCs w:val="24"/>
          <w:highlight w:val="white"/>
        </w:rPr>
      </w:pPr>
      <w:r w:rsidDel="00000000" w:rsidR="00000000" w:rsidRPr="00000000">
        <w:rPr>
          <w:b w:val="1"/>
          <w:sz w:val="24"/>
          <w:szCs w:val="24"/>
          <w:rtl w:val="0"/>
        </w:rPr>
        <w:t xml:space="preserve">Directions:</w:t>
      </w:r>
      <w:r w:rsidDel="00000000" w:rsidR="00000000" w:rsidRPr="00000000">
        <w:rPr>
          <w:sz w:val="24"/>
          <w:szCs w:val="24"/>
          <w:rtl w:val="0"/>
        </w:rPr>
        <w:t xml:space="preserve"> Watch the documentary found at</w:t>
      </w:r>
      <w:hyperlink r:id="rId6">
        <w:r w:rsidDel="00000000" w:rsidR="00000000" w:rsidRPr="00000000">
          <w:rPr>
            <w:sz w:val="24"/>
            <w:szCs w:val="24"/>
            <w:rtl w:val="0"/>
          </w:rPr>
          <w:t xml:space="preserve"> </w:t>
        </w:r>
      </w:hyperlink>
      <w:hyperlink r:id="rId7">
        <w:r w:rsidDel="00000000" w:rsidR="00000000" w:rsidRPr="00000000">
          <w:rPr>
            <w:color w:val="1155cc"/>
            <w:sz w:val="24"/>
            <w:szCs w:val="24"/>
            <w:highlight w:val="white"/>
            <w:u w:val="single"/>
            <w:rtl w:val="0"/>
          </w:rPr>
          <w:t xml:space="preserve">https://youtu.be/t5EW5e86OBc</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4"/>
          <w:szCs w:val="24"/>
          <w:highlight w:val="white"/>
        </w:rPr>
      </w:pPr>
      <w:r w:rsidDel="00000000" w:rsidR="00000000" w:rsidRPr="00000000">
        <w:rPr>
          <w:color w:val="333333"/>
          <w:sz w:val="24"/>
          <w:szCs w:val="24"/>
          <w:highlight w:val="white"/>
          <w:rtl w:val="0"/>
        </w:rPr>
        <w:t xml:space="preserve">Look for generalizations throughout the documentary. A generalization is a broad statement about a subject that is described and supported with detail. For this film, these generalizations might relate to Martin Luther King Jr., himself, garbage workers' strike and the events in Memphis, changes in the Civil Rights Movement, and King's assassination.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4"/>
          <w:szCs w:val="24"/>
          <w:highlight w:val="white"/>
        </w:rPr>
      </w:pPr>
      <w:r w:rsidDel="00000000" w:rsidR="00000000" w:rsidRPr="00000000">
        <w:rPr>
          <w:color w:val="333333"/>
          <w:sz w:val="24"/>
          <w:szCs w:val="24"/>
          <w:highlight w:val="white"/>
          <w:rtl w:val="0"/>
        </w:rPr>
        <w:t xml:space="preserve">Then Complete the THREE tables below and then answer the summary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4"/>
          <w:szCs w:val="24"/>
          <w:highlight w:val="white"/>
        </w:rPr>
      </w:pPr>
      <w:r w:rsidDel="00000000" w:rsidR="00000000" w:rsidRPr="00000000">
        <w:rPr>
          <w:rtl w:val="0"/>
        </w:rPr>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First generalization: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Evidence that supports that generalization: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bl>
      <w:tblPr>
        <w:tblStyle w:val="Table2"/>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Second generalization: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Evidence that supports that generalization: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bl>
      <w:tblPr>
        <w:tblStyle w:val="Table3"/>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Third generalization: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Evidence that supports that generalization: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What’s one generalization that you could make about Martin Luther King based on our reading and research so far?  What evidence do you have to support that generalization?  Please answer in a well-developed paragraph.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bs.org/wgbh/americanexperience/films/memphis/player/" TargetMode="External"/><Relationship Id="rId7" Type="http://schemas.openxmlformats.org/officeDocument/2006/relationships/hyperlink" Target="https://youtu.be/t5EW5e86O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