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51"/>
        <w:tblW w:w="0" w:type="auto"/>
        <w:tblLook w:val="04A0" w:firstRow="1" w:lastRow="0" w:firstColumn="1" w:lastColumn="0" w:noHBand="0" w:noVBand="1"/>
      </w:tblPr>
      <w:tblGrid>
        <w:gridCol w:w="3241"/>
        <w:gridCol w:w="3017"/>
        <w:gridCol w:w="3318"/>
      </w:tblGrid>
      <w:tr w:rsidR="008F1389" w:rsidTr="008F1389">
        <w:tc>
          <w:tcPr>
            <w:tcW w:w="3241" w:type="dxa"/>
          </w:tcPr>
          <w:p w:rsidR="008F1389" w:rsidRDefault="008F1389" w:rsidP="008F1389">
            <w:r>
              <w:t>Location (Act, Scene)</w:t>
            </w:r>
          </w:p>
        </w:tc>
        <w:tc>
          <w:tcPr>
            <w:tcW w:w="3017" w:type="dxa"/>
          </w:tcPr>
          <w:p w:rsidR="008F1389" w:rsidRDefault="008F1389" w:rsidP="008F1389">
            <w:r>
              <w:t>Quote</w:t>
            </w:r>
          </w:p>
        </w:tc>
        <w:tc>
          <w:tcPr>
            <w:tcW w:w="3318" w:type="dxa"/>
          </w:tcPr>
          <w:p w:rsidR="008F1389" w:rsidRDefault="008F1389" w:rsidP="008F1389">
            <w:r>
              <w:t>My Reaction</w:t>
            </w:r>
          </w:p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Act I Scene 1</w:t>
            </w:r>
          </w:p>
        </w:tc>
        <w:tc>
          <w:tcPr>
            <w:tcW w:w="3017" w:type="dxa"/>
          </w:tcPr>
          <w:p w:rsidR="008F1389" w:rsidRDefault="008F1389" w:rsidP="008F1389">
            <w:proofErr w:type="spellStart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Barnardo</w:t>
            </w:r>
            <w:proofErr w:type="gramStart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:How</w:t>
            </w:r>
            <w:proofErr w:type="spellEnd"/>
            <w:proofErr w:type="gramEnd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 now, Horatio, you tremble and look </w:t>
            </w:r>
            <w:proofErr w:type="spellStart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pale.Is</w:t>
            </w:r>
            <w:proofErr w:type="spellEnd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 not this something more than </w:t>
            </w:r>
            <w:proofErr w:type="spellStart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fantasy?What</w:t>
            </w:r>
            <w:proofErr w:type="spellEnd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 think you on ‘t?</w:t>
            </w:r>
          </w:p>
        </w:tc>
        <w:tc>
          <w:tcPr>
            <w:tcW w:w="3318" w:type="dxa"/>
          </w:tcPr>
          <w:p w:rsidR="008F1389" w:rsidRDefault="008F1389" w:rsidP="008F1389"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This seems to be a major idea of the whole play—whether or not the ghost is real or if it’s some sort of </w:t>
            </w:r>
            <w:proofErr w:type="spellStart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fantasy.The</w:t>
            </w:r>
            <w:proofErr w:type="spellEnd"/>
            <w:r>
              <w:rPr>
                <w:rStyle w:val="Emphasis"/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 trouble is that several people see it so it has to be real!</w:t>
            </w:r>
          </w:p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1.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2.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3.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4.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5.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6.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7.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8.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9.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10.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11.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  <w:tr w:rsidR="008F1389" w:rsidTr="008F1389">
        <w:tc>
          <w:tcPr>
            <w:tcW w:w="3241" w:type="dxa"/>
          </w:tcPr>
          <w:p w:rsidR="008F1389" w:rsidRDefault="008F1389" w:rsidP="008F1389">
            <w:r>
              <w:t>12.</w:t>
            </w:r>
          </w:p>
          <w:p w:rsidR="008F1389" w:rsidRDefault="008F1389" w:rsidP="008F1389"/>
        </w:tc>
        <w:tc>
          <w:tcPr>
            <w:tcW w:w="3017" w:type="dxa"/>
          </w:tcPr>
          <w:p w:rsidR="008F1389" w:rsidRDefault="008F1389" w:rsidP="008F1389"/>
        </w:tc>
        <w:tc>
          <w:tcPr>
            <w:tcW w:w="3318" w:type="dxa"/>
          </w:tcPr>
          <w:p w:rsidR="008F1389" w:rsidRDefault="008F1389" w:rsidP="008F1389"/>
        </w:tc>
      </w:tr>
    </w:tbl>
    <w:p w:rsidR="00BE0F90" w:rsidRPr="008F1389" w:rsidRDefault="00BE0F90"/>
    <w:p w:rsidR="008F1389" w:rsidRPr="008F1389" w:rsidRDefault="008F1389" w:rsidP="008F138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33333"/>
          <w:sz w:val="22"/>
          <w:szCs w:val="22"/>
        </w:rPr>
      </w:pPr>
      <w:bookmarkStart w:id="0" w:name="_GoBack"/>
      <w:r w:rsidRPr="008F1389">
        <w:rPr>
          <w:rFonts w:ascii="Arial" w:hAnsi="Arial" w:cs="Arial"/>
          <w:b/>
          <w:color w:val="333333"/>
          <w:sz w:val="22"/>
          <w:szCs w:val="22"/>
        </w:rPr>
        <w:t>Directions</w:t>
      </w:r>
      <w:bookmarkEnd w:id="0"/>
      <w:r>
        <w:rPr>
          <w:rFonts w:ascii="Arial" w:hAnsi="Arial" w:cs="Arial"/>
          <w:color w:val="333333"/>
          <w:sz w:val="22"/>
          <w:szCs w:val="22"/>
        </w:rPr>
        <w:t xml:space="preserve">: </w:t>
      </w:r>
      <w:r w:rsidRPr="008F1389">
        <w:rPr>
          <w:rFonts w:ascii="Arial" w:hAnsi="Arial" w:cs="Arial"/>
          <w:color w:val="333333"/>
          <w:sz w:val="22"/>
          <w:szCs w:val="22"/>
        </w:rPr>
        <w:t>The first step for this session will be to read Acts 4 &amp; 5 of Hamlet. You'll create a quote analysis table just like the one you created in session 1. (I also create a Google template below).Use the</w:t>
      </w:r>
      <w:r w:rsidRPr="008F138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5" w:history="1">
        <w:r w:rsidRPr="008F1389">
          <w:rPr>
            <w:rStyle w:val="Hyperlink"/>
            <w:rFonts w:ascii="Arial" w:hAnsi="Arial" w:cs="Arial"/>
            <w:color w:val="327CBB"/>
            <w:sz w:val="22"/>
            <w:szCs w:val="22"/>
          </w:rPr>
          <w:t>No Fear Shakespeare version of Hamlet</w:t>
        </w:r>
      </w:hyperlink>
      <w:r w:rsidRPr="008F1389">
        <w:rPr>
          <w:rFonts w:ascii="Arial" w:hAnsi="Arial" w:cs="Arial"/>
          <w:color w:val="800080"/>
          <w:sz w:val="22"/>
          <w:szCs w:val="22"/>
        </w:rPr>
        <w:t>,</w:t>
      </w:r>
      <w:r w:rsidRPr="008F1389">
        <w:rPr>
          <w:rStyle w:val="apple-converted-space"/>
          <w:rFonts w:ascii="Arial" w:hAnsi="Arial" w:cs="Arial"/>
          <w:color w:val="800080"/>
          <w:sz w:val="22"/>
          <w:szCs w:val="22"/>
        </w:rPr>
        <w:t> </w:t>
      </w:r>
      <w:hyperlink r:id="rId6" w:tgtFrame="_new" w:tooltip="the MIT Hamlet" w:history="1">
        <w:r w:rsidRPr="008F1389">
          <w:rPr>
            <w:rStyle w:val="Hyperlink"/>
            <w:rFonts w:ascii="Arial" w:hAnsi="Arial" w:cs="Arial"/>
            <w:color w:val="327CBB"/>
            <w:sz w:val="22"/>
            <w:szCs w:val="22"/>
          </w:rPr>
          <w:t>the MIT Hamlet</w:t>
        </w:r>
      </w:hyperlink>
      <w:r w:rsidRPr="008F1389">
        <w:rPr>
          <w:rFonts w:ascii="Arial" w:hAnsi="Arial" w:cs="Arial"/>
          <w:color w:val="800080"/>
          <w:sz w:val="22"/>
          <w:szCs w:val="22"/>
        </w:rPr>
        <w:t>, o</w:t>
      </w:r>
      <w:r w:rsidRPr="008F1389">
        <w:rPr>
          <w:rFonts w:ascii="Arial" w:hAnsi="Arial" w:cs="Arial"/>
          <w:color w:val="333333"/>
          <w:sz w:val="22"/>
          <w:szCs w:val="22"/>
        </w:rPr>
        <w:t>r your own copy and read Acts 4 and 5 of the play.</w:t>
      </w:r>
    </w:p>
    <w:p w:rsidR="008F1389" w:rsidRPr="008F1389" w:rsidRDefault="008F1389" w:rsidP="008F1389">
      <w:pPr>
        <w:pStyle w:val="NormalWeb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8F1389">
        <w:rPr>
          <w:rFonts w:ascii="Arial" w:hAnsi="Arial" w:cs="Arial"/>
          <w:color w:val="333333"/>
          <w:sz w:val="22"/>
          <w:szCs w:val="22"/>
        </w:rPr>
        <w:t>The journal should be formatted like the example on the left and you should have</w:t>
      </w:r>
      <w:r w:rsidRPr="008F138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8F1389">
        <w:rPr>
          <w:rStyle w:val="Strong"/>
          <w:rFonts w:ascii="Arial" w:hAnsi="Arial" w:cs="Arial"/>
          <w:color w:val="333333"/>
          <w:sz w:val="22"/>
          <w:szCs w:val="22"/>
        </w:rPr>
        <w:t>at least 12 quotes</w:t>
      </w:r>
      <w:r w:rsidRPr="008F138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8F1389">
        <w:rPr>
          <w:rFonts w:ascii="Arial" w:hAnsi="Arial" w:cs="Arial"/>
          <w:color w:val="333333"/>
          <w:sz w:val="22"/>
          <w:szCs w:val="22"/>
        </w:rPr>
        <w:t>evenly distributed from Acts 4 &amp; 5 as well as your responses. Submit your table on the next page.</w:t>
      </w:r>
    </w:p>
    <w:p w:rsidR="008F1389" w:rsidRPr="008F1389" w:rsidRDefault="008F1389" w:rsidP="008F1389">
      <w:pPr>
        <w:pStyle w:val="NormalWeb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8F1389">
        <w:rPr>
          <w:rFonts w:ascii="Arial" w:hAnsi="Arial" w:cs="Arial"/>
          <w:color w:val="333333"/>
          <w:sz w:val="22"/>
          <w:szCs w:val="22"/>
        </w:rPr>
        <w:t>You should think about this chart as being in a modified PEA format. The quote column is your evidence. The reaction column should include your point as well as analysis explaining why the evidence/quote supports your point!</w:t>
      </w:r>
    </w:p>
    <w:p w:rsidR="008F1389" w:rsidRDefault="008F1389"/>
    <w:p w:rsidR="008F1389" w:rsidRDefault="008F1389"/>
    <w:sectPr w:rsidR="008F1389" w:rsidSect="000B63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9"/>
    <w:rsid w:val="000B6330"/>
    <w:rsid w:val="005B703D"/>
    <w:rsid w:val="008F1389"/>
    <w:rsid w:val="00B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13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89"/>
  </w:style>
  <w:style w:type="character" w:styleId="Hyperlink">
    <w:name w:val="Hyperlink"/>
    <w:basedOn w:val="DefaultParagraphFont"/>
    <w:uiPriority w:val="99"/>
    <w:semiHidden/>
    <w:unhideWhenUsed/>
    <w:rsid w:val="008F1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1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13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89"/>
  </w:style>
  <w:style w:type="character" w:styleId="Hyperlink">
    <w:name w:val="Hyperlink"/>
    <w:basedOn w:val="DefaultParagraphFont"/>
    <w:uiPriority w:val="99"/>
    <w:semiHidden/>
    <w:unhideWhenUsed/>
    <w:rsid w:val="008F1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kespeare.mit.edu/hamlet/index.html" TargetMode="External"/><Relationship Id="rId5" Type="http://schemas.openxmlformats.org/officeDocument/2006/relationships/hyperlink" Target="http://nfs.sparknotes.com/ham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2015-10-14T17:01:00Z</dcterms:created>
  <dcterms:modified xsi:type="dcterms:W3CDTF">2015-10-14T17:01:00Z</dcterms:modified>
</cp:coreProperties>
</file>