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Open Sans" w:cs="Open Sans" w:eastAsia="Open Sans" w:hAnsi="Open Sans"/>
          <w:rtl w:val="0"/>
        </w:rPr>
        <w:t xml:space="preserve">Research Template</w:t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Source Title:</w:t>
              <w:tab/>
              <w:t xml:space="preserve">  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Author(s):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Where to find source (book title/website/journal/etc.):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They Said…</w:t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Who: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What: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When: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Where: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Why: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How: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Summary in my own words: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Source Title:</w:t>
              <w:tab/>
              <w:t xml:space="preserve">  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Author(s):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Where to find source (book title/website/journal/etc.):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They Said…</w:t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Who: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What: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When: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Where: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Why: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How: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Summary in my own words: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Source Title:</w:t>
              <w:tab/>
              <w:t xml:space="preserve">  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Author(s):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Where to find source (book title/website/journal/etc.):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They Said…</w:t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Who: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What: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When: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Where: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Why: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How: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Summary in my own words: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Open Sans" w:cs="Open Sans" w:eastAsia="Open Sans" w:hAnsi="Open Sans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Open Sans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