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72" w:rsidRDefault="00076972" w:rsidP="007C3452">
      <w:pPr>
        <w:pStyle w:val="Heading1"/>
        <w:spacing w:line="240" w:lineRule="auto"/>
        <w:contextualSpacing/>
      </w:pPr>
      <w:bookmarkStart w:id="0" w:name="_Toc376520808"/>
      <w:r>
        <w:t>SPIKE RECOVERY AND DETERMINING A METHOD DETECTION LIMIT</w:t>
      </w:r>
      <w:bookmarkEnd w:id="0"/>
    </w:p>
    <w:p w:rsidR="00173130" w:rsidRPr="00173130" w:rsidRDefault="00173130" w:rsidP="00173130">
      <w:pPr>
        <w:rPr>
          <w:b/>
          <w:i/>
        </w:rPr>
      </w:pPr>
      <w:r>
        <w:rPr>
          <w:b/>
          <w:i/>
        </w:rPr>
        <w:t xml:space="preserve">Pamela Doolittle, University of Wisconsin—Madison, </w:t>
      </w:r>
      <w:hyperlink r:id="rId9" w:history="1">
        <w:r w:rsidRPr="00070BB1">
          <w:rPr>
            <w:rStyle w:val="Hyperlink"/>
            <w:b/>
            <w:i/>
          </w:rPr>
          <w:t>pssemrad@wisc.edu</w:t>
        </w:r>
      </w:hyperlink>
      <w:r>
        <w:rPr>
          <w:b/>
          <w:i/>
        </w:rPr>
        <w:t xml:space="preserve"> 2014</w:t>
      </w:r>
    </w:p>
    <w:p w:rsidR="00076972" w:rsidRPr="00C27CB7" w:rsidRDefault="00076972" w:rsidP="007C3452">
      <w:pPr>
        <w:spacing w:after="0" w:line="240" w:lineRule="auto"/>
        <w:contextualSpacing/>
        <w:jc w:val="center"/>
        <w:rPr>
          <w:rFonts w:ascii="Times New Roman" w:hAnsi="Times New Roman" w:cs="Times New Roman"/>
          <w:b/>
          <w:sz w:val="24"/>
          <w:szCs w:val="24"/>
        </w:rPr>
      </w:pPr>
    </w:p>
    <w:p w:rsidR="00076972" w:rsidRPr="00B178F2" w:rsidRDefault="00076972" w:rsidP="007C3452">
      <w:pPr>
        <w:spacing w:after="0" w:line="240" w:lineRule="auto"/>
        <w:contextualSpacing/>
        <w:jc w:val="both"/>
        <w:rPr>
          <w:rFonts w:cs="Times New Roman"/>
          <w:i/>
        </w:rPr>
      </w:pPr>
      <w:r w:rsidRPr="00B178F2">
        <w:rPr>
          <w:rFonts w:cs="Times New Roman"/>
          <w:i/>
        </w:rPr>
        <w:t>This experiment explores quality assurance practices which are commonly used to determine the limits, accuracy, and precision of an analytical method.  The method detection limit (MDL) of the Ascorbic Acid Method for Phosphorus Determination will be determined and a spike recovery analysis will be performed on a lake water sample to determine whether the analytical signal (absorbance) depends on the matrix the analyte (phosphorus) is in.</w:t>
      </w:r>
      <w:r w:rsidRPr="00B178F2">
        <w:rPr>
          <w:rFonts w:cs="Times New Roman"/>
        </w:rPr>
        <w:t xml:space="preserve">  </w:t>
      </w:r>
    </w:p>
    <w:p w:rsidR="00076972" w:rsidRPr="00B178F2" w:rsidRDefault="00076972" w:rsidP="007C3452">
      <w:pPr>
        <w:spacing w:after="0" w:line="240" w:lineRule="auto"/>
        <w:contextualSpacing/>
        <w:jc w:val="both"/>
        <w:rPr>
          <w:rFonts w:cs="Times New Roman"/>
          <w:b/>
        </w:rPr>
      </w:pPr>
    </w:p>
    <w:p w:rsidR="00076972" w:rsidRPr="00B178F2" w:rsidRDefault="00076972" w:rsidP="007C3452">
      <w:pPr>
        <w:spacing w:after="120" w:line="240" w:lineRule="auto"/>
        <w:contextualSpacing/>
        <w:jc w:val="both"/>
        <w:rPr>
          <w:rFonts w:cs="Times New Roman"/>
          <w:i/>
          <w:caps/>
        </w:rPr>
      </w:pPr>
      <w:r w:rsidRPr="00B178F2">
        <w:rPr>
          <w:rFonts w:cs="Times New Roman"/>
          <w:b/>
          <w:caps/>
        </w:rPr>
        <w:t>Background</w:t>
      </w:r>
      <w:r w:rsidRPr="00B178F2">
        <w:rPr>
          <w:rFonts w:cs="Times New Roman"/>
          <w:i/>
          <w:caps/>
        </w:rPr>
        <w:t xml:space="preserve"> </w:t>
      </w:r>
    </w:p>
    <w:p w:rsidR="00076972" w:rsidRPr="00B178F2" w:rsidRDefault="00076972" w:rsidP="007C3452">
      <w:pPr>
        <w:spacing w:after="0" w:line="240" w:lineRule="auto"/>
        <w:contextualSpacing/>
        <w:jc w:val="both"/>
        <w:rPr>
          <w:rFonts w:cs="Times New Roman"/>
        </w:rPr>
      </w:pPr>
      <w:r w:rsidRPr="00B178F2">
        <w:rPr>
          <w:rFonts w:cs="Times New Roman"/>
        </w:rPr>
        <w:t>The experiments you’ve done in this class and in your other lab courses are likely fairly well defined with the procedure clearly stated and the outcomes well known and explicitly defined.  In fact these experiments were once research questions which experimentalists developed to measure specific aspects of a system with an acceptable level of precision and accuracy. Quality Assurance</w:t>
      </w:r>
      <w:r w:rsidRPr="00B178F2">
        <w:rPr>
          <w:rFonts w:cs="Times New Roman"/>
          <w:b/>
        </w:rPr>
        <w:t xml:space="preserve"> </w:t>
      </w:r>
      <w:r w:rsidRPr="00B178F2">
        <w:rPr>
          <w:rFonts w:cs="Times New Roman"/>
        </w:rPr>
        <w:t>is the practice of checking whether the right answer is achieved, essentially insuring the user gets the right data, gets the data right, and KEEPS the data right every time a method is used.</w:t>
      </w:r>
      <w:r w:rsidRPr="00B178F2">
        <w:rPr>
          <w:rStyle w:val="FootnoteReference"/>
        </w:rPr>
        <w:footnoteReference w:id="1"/>
      </w:r>
      <w:r w:rsidRPr="00B178F2">
        <w:rPr>
          <w:rFonts w:cs="Times New Roman"/>
        </w:rPr>
        <w:t xml:space="preserve"> Method validation exists as part of quality assurance and is a means to proving a method is appropriate for all intended purposes.</w:t>
      </w:r>
    </w:p>
    <w:p w:rsidR="00076972" w:rsidRPr="00B178F2" w:rsidRDefault="00076972" w:rsidP="007C3452">
      <w:pPr>
        <w:spacing w:after="0" w:line="240" w:lineRule="auto"/>
        <w:contextualSpacing/>
        <w:jc w:val="both"/>
        <w:rPr>
          <w:rFonts w:cs="Times New Roman"/>
        </w:rPr>
      </w:pPr>
    </w:p>
    <w:p w:rsidR="00076972" w:rsidRPr="00B178F2" w:rsidRDefault="00076972" w:rsidP="007C3452">
      <w:pPr>
        <w:spacing w:after="0" w:line="240" w:lineRule="auto"/>
        <w:contextualSpacing/>
        <w:jc w:val="both"/>
        <w:rPr>
          <w:rFonts w:cs="Times New Roman"/>
        </w:rPr>
      </w:pPr>
      <w:r w:rsidRPr="00B178F2">
        <w:rPr>
          <w:rFonts w:cs="Times New Roman"/>
        </w:rPr>
        <w:t xml:space="preserve">Imagine you work in an environmental testing lab, and your boss has just charged you with measuring phosphorus at various sites in Lake Mendota.  How do you pick the best method to do the job?  How do you know whether your measurements meet a minimum level of accuracy and precision?  How can you prove there are no interfering substances in your sample matrix that shifts your measured value from the true value?  Quality Assurance best practices are how you would navigate these questions to ultimately defend your experimental choices and resulting data.  </w:t>
      </w:r>
    </w:p>
    <w:p w:rsidR="00076972" w:rsidRPr="00B178F2" w:rsidRDefault="00076972" w:rsidP="007C3452">
      <w:pPr>
        <w:spacing w:after="0" w:line="240" w:lineRule="auto"/>
        <w:contextualSpacing/>
        <w:jc w:val="both"/>
        <w:rPr>
          <w:rFonts w:cs="Times New Roman"/>
        </w:rPr>
      </w:pPr>
    </w:p>
    <w:p w:rsidR="00076972" w:rsidRDefault="00076972" w:rsidP="007C3452">
      <w:pPr>
        <w:spacing w:after="0" w:line="240" w:lineRule="auto"/>
        <w:contextualSpacing/>
        <w:jc w:val="both"/>
        <w:rPr>
          <w:rFonts w:cs="Times New Roman"/>
        </w:rPr>
      </w:pPr>
      <w:r w:rsidRPr="00B178F2">
        <w:rPr>
          <w:rFonts w:cs="Times New Roman"/>
        </w:rPr>
        <w:t xml:space="preserve">In this experiment, you will practice two commonly used quality assurance methods. One is the recovery of a known addition, or spike, of analyte to a sample. This method is used to determine whether a systematic shift occurs in the analytical signal of an analyte due to matrix effects. To determine the percent recovery of a spike, the sample is split into two portions and a known amount of a standard solution of analyte is added to one portion. The concentration of the analyte is determined for both the spiked, </w:t>
      </w:r>
      <w:r w:rsidRPr="00B178F2">
        <w:rPr>
          <w:rFonts w:cs="Times New Roman"/>
          <w:i/>
        </w:rPr>
        <w:t>F</w:t>
      </w:r>
      <w:r w:rsidRPr="00B178F2">
        <w:rPr>
          <w:rFonts w:cs="Times New Roman"/>
        </w:rPr>
        <w:t>, and un-spiked portions,</w:t>
      </w:r>
      <w:r w:rsidRPr="00B178F2">
        <w:rPr>
          <w:rFonts w:cs="Times New Roman"/>
          <w:i/>
        </w:rPr>
        <w:t xml:space="preserve"> I</w:t>
      </w:r>
      <w:r w:rsidRPr="00B178F2">
        <w:rPr>
          <w:rFonts w:cs="Times New Roman"/>
        </w:rPr>
        <w:t xml:space="preserve">, and the percent recovery, </w:t>
      </w:r>
      <w:r w:rsidRPr="00B178F2">
        <w:rPr>
          <w:rFonts w:cs="Times New Roman"/>
          <w:i/>
        </w:rPr>
        <w:t>%R</w:t>
      </w:r>
      <w:r w:rsidRPr="00B178F2">
        <w:rPr>
          <w:rFonts w:cs="Times New Roman"/>
        </w:rPr>
        <w:t>, is calculated as</w:t>
      </w:r>
    </w:p>
    <w:p w:rsidR="00076972" w:rsidRPr="00B178F2" w:rsidRDefault="00076972" w:rsidP="007C3452">
      <w:pPr>
        <w:spacing w:after="0" w:line="240" w:lineRule="auto"/>
        <w:contextualSpacing/>
        <w:jc w:val="both"/>
        <w:rPr>
          <w:rFonts w:cs="Times New Roman"/>
        </w:rPr>
      </w:pPr>
    </w:p>
    <w:p w:rsidR="00076972" w:rsidRPr="00B178F2" w:rsidRDefault="00076972" w:rsidP="007C3452">
      <w:pPr>
        <w:spacing w:after="0" w:line="240" w:lineRule="auto"/>
        <w:contextualSpacing/>
        <w:jc w:val="right"/>
        <w:rPr>
          <w:rFonts w:cs="Times New Roman"/>
        </w:rPr>
      </w:pPr>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F-I</m:t>
            </m:r>
          </m:num>
          <m:den>
            <m:r>
              <w:rPr>
                <w:rFonts w:ascii="Cambria Math" w:hAnsi="Cambria Math" w:cs="Times New Roman"/>
              </w:rPr>
              <m:t>A</m:t>
            </m:r>
          </m:den>
        </m:f>
        <m:r>
          <w:rPr>
            <w:rFonts w:ascii="Cambria Math" w:hAnsi="Cambria Math" w:cs="Times New Roman"/>
          </w:rPr>
          <m:t>*100</m:t>
        </m:r>
      </m:oMath>
      <w:r w:rsidRPr="00B178F2">
        <w:rPr>
          <w:rFonts w:cs="Times New Roman"/>
        </w:rPr>
        <w:tab/>
      </w:r>
      <w:r w:rsidRPr="00B178F2">
        <w:rPr>
          <w:rFonts w:cs="Times New Roman"/>
        </w:rPr>
        <w:tab/>
      </w:r>
      <w:r w:rsidRPr="00B178F2">
        <w:rPr>
          <w:rFonts w:cs="Times New Roman"/>
        </w:rPr>
        <w:tab/>
      </w:r>
      <w:r w:rsidRPr="00B178F2">
        <w:rPr>
          <w:rFonts w:cs="Times New Roman"/>
        </w:rPr>
        <w:tab/>
      </w:r>
      <w:r w:rsidRPr="00B178F2">
        <w:rPr>
          <w:rFonts w:cs="Times New Roman"/>
        </w:rPr>
        <w:tab/>
      </w:r>
      <w:r w:rsidRPr="00B178F2">
        <w:rPr>
          <w:rFonts w:cs="Times New Roman"/>
        </w:rPr>
        <w:tab/>
        <w:t>(1)</w:t>
      </w:r>
    </w:p>
    <w:p w:rsidR="00076972" w:rsidRPr="00B178F2" w:rsidRDefault="00076972" w:rsidP="007C3452">
      <w:pPr>
        <w:spacing w:after="0" w:line="240" w:lineRule="auto"/>
        <w:contextualSpacing/>
        <w:jc w:val="both"/>
        <w:rPr>
          <w:rFonts w:cs="Times New Roman"/>
        </w:rPr>
      </w:pPr>
    </w:p>
    <w:p w:rsidR="00076972" w:rsidRPr="00B178F2" w:rsidRDefault="00076972" w:rsidP="007C3452">
      <w:pPr>
        <w:spacing w:after="0" w:line="240" w:lineRule="auto"/>
        <w:contextualSpacing/>
        <w:jc w:val="both"/>
        <w:rPr>
          <w:rFonts w:cs="Times New Roman"/>
        </w:rPr>
      </w:pPr>
      <w:r w:rsidRPr="00B178F2">
        <w:rPr>
          <w:rFonts w:cs="Times New Roman"/>
        </w:rPr>
        <w:t xml:space="preserve">where </w:t>
      </w:r>
      <w:r w:rsidRPr="00B178F2">
        <w:rPr>
          <w:rFonts w:cs="Times New Roman"/>
          <w:i/>
        </w:rPr>
        <w:t>A</w:t>
      </w:r>
      <w:r w:rsidRPr="00B178F2">
        <w:rPr>
          <w:rFonts w:cs="Times New Roman"/>
        </w:rPr>
        <w:t xml:space="preserve"> is the concentration of analyte added to the spiked portion.  </w:t>
      </w:r>
    </w:p>
    <w:p w:rsidR="00076972" w:rsidRPr="00B178F2" w:rsidRDefault="00076972" w:rsidP="007C3452">
      <w:pPr>
        <w:spacing w:after="0" w:line="240" w:lineRule="auto"/>
        <w:contextualSpacing/>
        <w:jc w:val="both"/>
        <w:rPr>
          <w:rFonts w:cs="Times New Roman"/>
        </w:rPr>
      </w:pPr>
    </w:p>
    <w:p w:rsidR="00076972" w:rsidRPr="00B178F2" w:rsidRDefault="00076972" w:rsidP="007C3452">
      <w:pPr>
        <w:spacing w:after="0" w:line="240" w:lineRule="auto"/>
        <w:contextualSpacing/>
        <w:jc w:val="both"/>
        <w:rPr>
          <w:rFonts w:cs="Times New Roman"/>
        </w:rPr>
      </w:pPr>
      <w:r w:rsidRPr="00B178F2">
        <w:rPr>
          <w:rFonts w:cs="Times New Roman"/>
        </w:rPr>
        <w:t>The second quality assurance measure is to determine the method detection limit (MDL). The MDL is the smallest measurable concentration of analyte that is statistically different from the blank.  The MDL is calculated as</w:t>
      </w:r>
    </w:p>
    <w:p w:rsidR="00076972" w:rsidRPr="00B178F2" w:rsidRDefault="00076972" w:rsidP="007C3452">
      <w:pPr>
        <w:widowControl w:val="0"/>
        <w:autoSpaceDE w:val="0"/>
        <w:autoSpaceDN w:val="0"/>
        <w:adjustRightInd w:val="0"/>
        <w:spacing w:after="0" w:line="240" w:lineRule="auto"/>
        <w:ind w:left="426" w:hanging="284"/>
        <w:contextualSpacing/>
        <w:jc w:val="right"/>
        <w:rPr>
          <w:rFonts w:cs="Times New Roman"/>
        </w:rPr>
      </w:pPr>
      <w:r w:rsidRPr="00B178F2">
        <w:rPr>
          <w:rFonts w:cs="Times New Roman"/>
        </w:rPr>
        <w:t>MDL = t</w:t>
      </w:r>
      <w:r w:rsidRPr="00B178F2">
        <w:rPr>
          <w:rFonts w:cs="Times New Roman"/>
          <w:vertAlign w:val="subscript"/>
        </w:rPr>
        <w:t>(n-1, 99%)</w:t>
      </w:r>
      <w:r w:rsidRPr="00B178F2">
        <w:rPr>
          <w:rFonts w:cs="Times New Roman"/>
        </w:rPr>
        <w:t>(s)</w:t>
      </w:r>
      <w:r w:rsidRPr="00B178F2">
        <w:rPr>
          <w:rFonts w:cs="Times New Roman"/>
        </w:rPr>
        <w:tab/>
      </w:r>
      <w:r w:rsidRPr="00B178F2">
        <w:rPr>
          <w:rFonts w:cs="Times New Roman"/>
        </w:rPr>
        <w:tab/>
      </w:r>
      <w:r w:rsidRPr="00B178F2">
        <w:rPr>
          <w:rFonts w:cs="Times New Roman"/>
        </w:rPr>
        <w:tab/>
      </w:r>
      <w:r w:rsidRPr="00B178F2">
        <w:rPr>
          <w:rFonts w:cs="Times New Roman"/>
        </w:rPr>
        <w:tab/>
      </w:r>
      <w:r w:rsidRPr="00B178F2">
        <w:rPr>
          <w:rFonts w:cs="Times New Roman"/>
        </w:rPr>
        <w:tab/>
      </w:r>
      <w:r w:rsidRPr="00B178F2">
        <w:rPr>
          <w:rFonts w:cs="Times New Roman"/>
        </w:rPr>
        <w:tab/>
        <w:t>(2)</w:t>
      </w:r>
    </w:p>
    <w:p w:rsidR="00076972" w:rsidRPr="00B178F2" w:rsidRDefault="00076972" w:rsidP="007C3452">
      <w:pPr>
        <w:widowControl w:val="0"/>
        <w:autoSpaceDE w:val="0"/>
        <w:autoSpaceDN w:val="0"/>
        <w:adjustRightInd w:val="0"/>
        <w:spacing w:after="0" w:line="240" w:lineRule="auto"/>
        <w:ind w:left="426" w:hanging="284"/>
        <w:contextualSpacing/>
        <w:jc w:val="right"/>
        <w:rPr>
          <w:rFonts w:cs="Times New Roman"/>
        </w:rPr>
      </w:pPr>
    </w:p>
    <w:p w:rsidR="00076972" w:rsidRPr="00B178F2" w:rsidRDefault="00076972" w:rsidP="007C3452">
      <w:pPr>
        <w:widowControl w:val="0"/>
        <w:autoSpaceDE w:val="0"/>
        <w:autoSpaceDN w:val="0"/>
        <w:adjustRightInd w:val="0"/>
        <w:spacing w:after="0" w:line="240" w:lineRule="auto"/>
        <w:contextualSpacing/>
        <w:jc w:val="both"/>
        <w:rPr>
          <w:rFonts w:cs="Times New Roman"/>
        </w:rPr>
      </w:pPr>
      <w:r w:rsidRPr="00B178F2">
        <w:rPr>
          <w:rFonts w:cs="Times New Roman"/>
        </w:rPr>
        <w:t>where s is the standard deviation of seven or more replicate analyses and t</w:t>
      </w:r>
      <w:r w:rsidRPr="00B178F2">
        <w:rPr>
          <w:rFonts w:cs="Times New Roman"/>
          <w:vertAlign w:val="subscript"/>
        </w:rPr>
        <w:t>(n-1, 99%)</w:t>
      </w:r>
      <w:r w:rsidRPr="00B178F2">
        <w:rPr>
          <w:rFonts w:cs="Times New Roman"/>
        </w:rPr>
        <w:t xml:space="preserve"> is Students' t value for a </w:t>
      </w:r>
      <w:r w:rsidRPr="00B178F2">
        <w:rPr>
          <w:rFonts w:cs="Times New Roman"/>
        </w:rPr>
        <w:lastRenderedPageBreak/>
        <w:t xml:space="preserve">99% confidence level for a </w:t>
      </w:r>
      <w:r w:rsidRPr="00B178F2">
        <w:rPr>
          <w:rFonts w:cs="Times New Roman"/>
          <w:iCs/>
        </w:rPr>
        <w:t>one-tailed distribution</w:t>
      </w:r>
      <w:r w:rsidRPr="00B178F2">
        <w:rPr>
          <w:rFonts w:cs="Times New Roman"/>
        </w:rPr>
        <w:t xml:space="preserve"> and n</w:t>
      </w:r>
      <w:r w:rsidRPr="00B178F2">
        <w:rPr>
          <w:rFonts w:cs="Times New Roman"/>
        </w:rPr>
        <w:sym w:font="Symbol" w:char="F02D"/>
      </w:r>
      <w:r w:rsidRPr="00B178F2">
        <w:rPr>
          <w:rFonts w:cs="Times New Roman"/>
        </w:rPr>
        <w:t>1 degrees of freedom.</w:t>
      </w:r>
      <w:r w:rsidRPr="00B178F2">
        <w:rPr>
          <w:rStyle w:val="FootnoteReference"/>
        </w:rPr>
        <w:footnoteReference w:id="2"/>
      </w:r>
      <w:r w:rsidRPr="00B178F2">
        <w:rPr>
          <w:rFonts w:cs="Times New Roman"/>
        </w:rPr>
        <w:t xml:space="preserve">  </w:t>
      </w:r>
    </w:p>
    <w:p w:rsidR="00076972" w:rsidRPr="00B178F2" w:rsidRDefault="00076972" w:rsidP="007C3452">
      <w:pPr>
        <w:widowControl w:val="0"/>
        <w:autoSpaceDE w:val="0"/>
        <w:autoSpaceDN w:val="0"/>
        <w:adjustRightInd w:val="0"/>
        <w:spacing w:after="0" w:line="240" w:lineRule="auto"/>
        <w:contextualSpacing/>
        <w:jc w:val="both"/>
        <w:rPr>
          <w:rFonts w:cs="Times New Roman"/>
        </w:rPr>
      </w:pPr>
    </w:p>
    <w:p w:rsidR="00076972" w:rsidRPr="00B178F2" w:rsidRDefault="00076972" w:rsidP="007C3452">
      <w:pPr>
        <w:spacing w:after="0" w:line="240" w:lineRule="auto"/>
        <w:contextualSpacing/>
        <w:jc w:val="both"/>
        <w:rPr>
          <w:rFonts w:cs="Times New Roman"/>
        </w:rPr>
      </w:pPr>
      <w:r w:rsidRPr="00B178F2">
        <w:rPr>
          <w:rFonts w:cs="Times New Roman"/>
        </w:rPr>
        <w:t xml:space="preserve">In a few weeks, you will measure phosphorus concentrations in Lake Mendota at multiple inflow and outflow points around the lake. In this experiment, you will determine the MDL of the Ascorbic Acid Method for Phosphorus Determination, as well as determine whether the lake water matrix introduces any systematic error in absorbance measurements in the Ascorbic Acid Method for Phosphorus Determination.  </w:t>
      </w:r>
    </w:p>
    <w:p w:rsidR="00076972" w:rsidRPr="00B178F2" w:rsidRDefault="00076972" w:rsidP="007C3452">
      <w:pPr>
        <w:keepNext/>
        <w:spacing w:after="0" w:line="240" w:lineRule="auto"/>
        <w:contextualSpacing/>
        <w:jc w:val="both"/>
        <w:rPr>
          <w:rFonts w:cs="Times New Roman"/>
        </w:rPr>
      </w:pPr>
    </w:p>
    <w:p w:rsidR="00076972" w:rsidRPr="00B178F2" w:rsidRDefault="00076972" w:rsidP="007C3452">
      <w:pPr>
        <w:keepNext/>
        <w:spacing w:after="0" w:line="240" w:lineRule="auto"/>
        <w:contextualSpacing/>
        <w:jc w:val="both"/>
        <w:rPr>
          <w:rFonts w:cs="Times New Roman"/>
        </w:rPr>
      </w:pPr>
      <w:r w:rsidRPr="00B178F2">
        <w:rPr>
          <w:rFonts w:cs="Times New Roman"/>
        </w:rPr>
        <w:t>Phosphorus occurs in lake water almost solely as phosphates, a chemical form in which each phosphorus atom is surrounded by four oxygen atoms. These are classified as orthophosphates, condensed phosphates, and organically bound phosphates. Orthophosphate, the simplest phosphate, has the chemical formula PO</w:t>
      </w:r>
      <w:r w:rsidRPr="00B178F2">
        <w:rPr>
          <w:rFonts w:cs="Times New Roman"/>
          <w:vertAlign w:val="subscript"/>
        </w:rPr>
        <w:t>4</w:t>
      </w:r>
      <w:r w:rsidRPr="00B178F2">
        <w:rPr>
          <w:rFonts w:cs="Times New Roman"/>
          <w:vertAlign w:val="superscript"/>
        </w:rPr>
        <w:t>3</w:t>
      </w:r>
      <w:r w:rsidRPr="00B178F2">
        <w:rPr>
          <w:rFonts w:cs="Times New Roman"/>
          <w:vertAlign w:val="superscript"/>
        </w:rPr>
        <w:sym w:font="Symbol" w:char="F02D"/>
      </w:r>
      <w:r w:rsidRPr="00B178F2">
        <w:rPr>
          <w:rFonts w:cs="Times New Roman"/>
        </w:rPr>
        <w:t>. In natural waters, orthophosphate mostly exists as dihydrogen phosphate, H</w:t>
      </w:r>
      <w:r w:rsidRPr="00B178F2">
        <w:rPr>
          <w:rFonts w:cs="Times New Roman"/>
          <w:vertAlign w:val="subscript"/>
        </w:rPr>
        <w:t>2</w:t>
      </w:r>
      <w:r w:rsidRPr="00B178F2">
        <w:rPr>
          <w:rFonts w:cs="Times New Roman"/>
        </w:rPr>
        <w:t>PO</w:t>
      </w:r>
      <w:r w:rsidRPr="00B178F2">
        <w:rPr>
          <w:rFonts w:cs="Times New Roman"/>
          <w:vertAlign w:val="subscript"/>
        </w:rPr>
        <w:t>4</w:t>
      </w:r>
      <w:r w:rsidRPr="00B178F2">
        <w:rPr>
          <w:rFonts w:cs="Times New Roman"/>
          <w:vertAlign w:val="superscript"/>
        </w:rPr>
        <w:sym w:font="Symbol" w:char="F02D"/>
      </w:r>
      <w:r w:rsidRPr="00B178F2">
        <w:rPr>
          <w:rFonts w:cs="Times New Roman"/>
        </w:rPr>
        <w:t xml:space="preserve"> and hydrogen phosphate, HPO</w:t>
      </w:r>
      <w:r w:rsidRPr="00B178F2">
        <w:rPr>
          <w:rFonts w:cs="Times New Roman"/>
          <w:vertAlign w:val="subscript"/>
        </w:rPr>
        <w:t>4</w:t>
      </w:r>
      <w:r w:rsidRPr="00B178F2">
        <w:rPr>
          <w:rFonts w:cs="Times New Roman"/>
          <w:vertAlign w:val="superscript"/>
        </w:rPr>
        <w:t>2</w:t>
      </w:r>
      <w:r w:rsidRPr="00B178F2">
        <w:rPr>
          <w:rFonts w:cs="Times New Roman"/>
          <w:vertAlign w:val="superscript"/>
        </w:rPr>
        <w:sym w:font="Symbol" w:char="F02D"/>
      </w:r>
      <w:r w:rsidRPr="00B178F2">
        <w:rPr>
          <w:rFonts w:cs="Times New Roman"/>
        </w:rPr>
        <w:t>. Condensed phosphates are polyphosphates such as pyrophosphate, P</w:t>
      </w:r>
      <w:r w:rsidRPr="00B178F2">
        <w:rPr>
          <w:rFonts w:cs="Times New Roman"/>
          <w:vertAlign w:val="subscript"/>
        </w:rPr>
        <w:t>2</w:t>
      </w:r>
      <w:r w:rsidRPr="00B178F2">
        <w:rPr>
          <w:rFonts w:cs="Times New Roman"/>
        </w:rPr>
        <w:t>O</w:t>
      </w:r>
      <w:r w:rsidRPr="00B178F2">
        <w:rPr>
          <w:rFonts w:cs="Times New Roman"/>
          <w:vertAlign w:val="subscript"/>
        </w:rPr>
        <w:t>7</w:t>
      </w:r>
      <w:r w:rsidRPr="00B178F2">
        <w:rPr>
          <w:rFonts w:cs="Times New Roman"/>
          <w:vertAlign w:val="superscript"/>
        </w:rPr>
        <w:t>4−</w:t>
      </w:r>
      <w:r w:rsidRPr="00B178F2">
        <w:rPr>
          <w:rFonts w:cs="Times New Roman"/>
        </w:rPr>
        <w:t>, and metaphosphate, (PO</w:t>
      </w:r>
      <w:r w:rsidRPr="00B178F2">
        <w:rPr>
          <w:rFonts w:cs="Times New Roman"/>
          <w:vertAlign w:val="subscript"/>
        </w:rPr>
        <w:t>3</w:t>
      </w:r>
      <w:r w:rsidRPr="00B178F2">
        <w:rPr>
          <w:rFonts w:cs="Times New Roman"/>
          <w:vertAlign w:val="superscript"/>
        </w:rPr>
        <w:t>−</w:t>
      </w:r>
      <w:r w:rsidRPr="00B178F2">
        <w:rPr>
          <w:rFonts w:cs="Times New Roman"/>
        </w:rPr>
        <w:t>)</w:t>
      </w:r>
      <w:r w:rsidRPr="00B178F2">
        <w:rPr>
          <w:rFonts w:cs="Times New Roman"/>
          <w:vertAlign w:val="subscript"/>
        </w:rPr>
        <w:t>n</w:t>
      </w:r>
      <w:r w:rsidRPr="00B178F2">
        <w:rPr>
          <w:rFonts w:cs="Times New Roman"/>
        </w:rPr>
        <w:t xml:space="preserve">. </w:t>
      </w:r>
      <w:r w:rsidRPr="00B178F2">
        <w:rPr>
          <w:rFonts w:cs="Times New Roman"/>
          <w:bCs/>
        </w:rPr>
        <w:t>Total phosphorus</w:t>
      </w:r>
      <w:r w:rsidRPr="00B178F2">
        <w:rPr>
          <w:rFonts w:cs="Times New Roman"/>
        </w:rPr>
        <w:t xml:space="preserve"> is the total amount of phosphorus contained, regardless of its form. </w:t>
      </w:r>
      <w:r w:rsidRPr="00B178F2">
        <w:rPr>
          <w:rFonts w:cs="Times New Roman"/>
          <w:bCs/>
        </w:rPr>
        <w:t>I</w:t>
      </w:r>
      <w:r w:rsidRPr="00B178F2">
        <w:rPr>
          <w:rFonts w:cs="Times New Roman"/>
        </w:rPr>
        <w:t xml:space="preserve">n order to measure </w:t>
      </w:r>
      <w:r w:rsidRPr="00B178F2">
        <w:rPr>
          <w:rFonts w:cs="Times New Roman"/>
          <w:bCs/>
        </w:rPr>
        <w:t>total phosphorus</w:t>
      </w:r>
      <w:r w:rsidRPr="00B178F2">
        <w:rPr>
          <w:rFonts w:cs="Times New Roman"/>
        </w:rPr>
        <w:t>, lake samples must be oxidized (digeste</w:t>
      </w:r>
      <w:r w:rsidRPr="00B178F2">
        <w:rPr>
          <w:rFonts w:cs="Times New Roman"/>
          <w:bCs/>
        </w:rPr>
        <w:t>d) to convert organic phosphates</w:t>
      </w:r>
      <w:r w:rsidRPr="00B178F2">
        <w:rPr>
          <w:rFonts w:cs="Times New Roman"/>
        </w:rPr>
        <w:t xml:space="preserve"> </w:t>
      </w:r>
      <w:r w:rsidRPr="00B178F2">
        <w:rPr>
          <w:rFonts w:cs="Times New Roman"/>
          <w:bCs/>
        </w:rPr>
        <w:t xml:space="preserve">and condensed phosphates </w:t>
      </w:r>
      <w:r w:rsidRPr="00B178F2">
        <w:rPr>
          <w:rFonts w:cs="Times New Roman"/>
        </w:rPr>
        <w:t xml:space="preserve">to orthophosphate. </w:t>
      </w:r>
    </w:p>
    <w:p w:rsidR="00076972" w:rsidRPr="00B178F2" w:rsidRDefault="00076972" w:rsidP="007C3452">
      <w:pPr>
        <w:keepNext/>
        <w:spacing w:after="0" w:line="240" w:lineRule="auto"/>
        <w:contextualSpacing/>
        <w:jc w:val="both"/>
        <w:rPr>
          <w:rFonts w:cs="Times New Roman"/>
        </w:rPr>
      </w:pPr>
    </w:p>
    <w:p w:rsidR="00076972" w:rsidRPr="00B178F2" w:rsidRDefault="00076972" w:rsidP="007C3452">
      <w:pPr>
        <w:pStyle w:val="FootnoteText"/>
        <w:contextualSpacing/>
        <w:jc w:val="both"/>
        <w:rPr>
          <w:rFonts w:cs="Times New Roman"/>
          <w:sz w:val="22"/>
          <w:szCs w:val="22"/>
        </w:rPr>
      </w:pPr>
      <w:r w:rsidRPr="00B178F2">
        <w:rPr>
          <w:rFonts w:cs="Times New Roman"/>
          <w:sz w:val="22"/>
          <w:szCs w:val="22"/>
        </w:rPr>
        <w:t xml:space="preserve">Lake water samples will be digesting using the Persulfate Digestion Method from </w:t>
      </w:r>
      <w:r w:rsidRPr="00B178F2">
        <w:rPr>
          <w:rFonts w:cs="Times New Roman"/>
          <w:color w:val="211D1E"/>
          <w:sz w:val="22"/>
          <w:szCs w:val="22"/>
        </w:rPr>
        <w:t>Standard Methods for the Examination of Water and Wastewater (4500-P.B.5.)</w:t>
      </w:r>
      <w:r w:rsidRPr="00B178F2">
        <w:rPr>
          <w:rStyle w:val="FootnoteReference"/>
          <w:sz w:val="22"/>
          <w:szCs w:val="22"/>
        </w:rPr>
        <w:footnoteReference w:id="3"/>
      </w:r>
      <w:r w:rsidRPr="00B178F2">
        <w:rPr>
          <w:rFonts w:cs="Times New Roman"/>
          <w:sz w:val="22"/>
          <w:szCs w:val="22"/>
        </w:rPr>
        <w:t>.</w:t>
      </w:r>
      <w:r w:rsidRPr="00B178F2">
        <w:rPr>
          <w:rFonts w:cs="Times New Roman"/>
          <w:color w:val="211D1E"/>
          <w:sz w:val="22"/>
          <w:szCs w:val="22"/>
        </w:rPr>
        <w:t xml:space="preserve"> </w:t>
      </w:r>
      <w:r w:rsidRPr="00B178F2">
        <w:rPr>
          <w:rFonts w:cs="Times New Roman"/>
          <w:sz w:val="22"/>
          <w:szCs w:val="22"/>
        </w:rPr>
        <w:t>Note that in the procedure, lake water samples are digested; however, standard phosphate solutions and blanks are not. You would be correct in pointing out that if we digest the lake water sample, it would be good laboratory practice to digest the standard phosphate solutions. In the interest of time, and based on previous experience, we assume that orthophosphate is the only form of phosphorus present in standard phosphorus solutions prepared from anhydrous potassium dihydrogen phosphate (KH</w:t>
      </w:r>
      <w:r w:rsidRPr="00B178F2">
        <w:rPr>
          <w:rFonts w:cs="Times New Roman"/>
          <w:sz w:val="22"/>
          <w:szCs w:val="22"/>
          <w:vertAlign w:val="subscript"/>
        </w:rPr>
        <w:t>2</w:t>
      </w:r>
      <w:r w:rsidRPr="00B178F2">
        <w:rPr>
          <w:rFonts w:cs="Times New Roman"/>
          <w:sz w:val="22"/>
          <w:szCs w:val="22"/>
        </w:rPr>
        <w:t>PO</w:t>
      </w:r>
      <w:r w:rsidRPr="00B178F2">
        <w:rPr>
          <w:rFonts w:cs="Times New Roman"/>
          <w:sz w:val="22"/>
          <w:szCs w:val="22"/>
          <w:vertAlign w:val="subscript"/>
        </w:rPr>
        <w:t>4</w:t>
      </w:r>
      <w:r w:rsidRPr="00B178F2">
        <w:rPr>
          <w:rFonts w:cs="Times New Roman"/>
          <w:sz w:val="22"/>
          <w:szCs w:val="22"/>
        </w:rPr>
        <w:t>).</w:t>
      </w:r>
    </w:p>
    <w:p w:rsidR="00076972" w:rsidRPr="00B178F2" w:rsidRDefault="00076972" w:rsidP="007C3452">
      <w:pPr>
        <w:spacing w:after="0" w:line="240" w:lineRule="auto"/>
        <w:contextualSpacing/>
        <w:jc w:val="both"/>
        <w:rPr>
          <w:rFonts w:cs="Times New Roman"/>
          <w:b/>
          <w:caps/>
        </w:rPr>
      </w:pPr>
    </w:p>
    <w:p w:rsidR="00076972" w:rsidRPr="00B178F2" w:rsidRDefault="00076972" w:rsidP="007C3452">
      <w:pPr>
        <w:spacing w:after="120" w:line="240" w:lineRule="auto"/>
        <w:contextualSpacing/>
        <w:jc w:val="both"/>
        <w:rPr>
          <w:rFonts w:cs="Times New Roman"/>
          <w:b/>
          <w:caps/>
        </w:rPr>
      </w:pPr>
      <w:r w:rsidRPr="00B178F2">
        <w:rPr>
          <w:rFonts w:cs="Times New Roman"/>
          <w:b/>
          <w:caps/>
        </w:rPr>
        <w:t>Prelaboratory Exercises:</w:t>
      </w:r>
    </w:p>
    <w:p w:rsidR="00076972" w:rsidRPr="00B178F2" w:rsidRDefault="00076972" w:rsidP="00076972">
      <w:pPr>
        <w:pStyle w:val="ListParagraph"/>
        <w:numPr>
          <w:ilvl w:val="0"/>
          <w:numId w:val="3"/>
        </w:numPr>
        <w:spacing w:after="120" w:line="240" w:lineRule="auto"/>
        <w:ind w:left="360"/>
        <w:jc w:val="both"/>
        <w:rPr>
          <w:rFonts w:cs="Times New Roman"/>
        </w:rPr>
      </w:pPr>
      <w:r w:rsidRPr="00B178F2">
        <w:rPr>
          <w:rFonts w:cs="Times New Roman"/>
        </w:rPr>
        <w:t>Estimate the MDL of the Ascorbic Acid Method for Phosphorus Determination as three times the standard deviation of a method blank. Absorbance values of a method blank and the equation of the calibration line are given in Table 1. Use this value as the estimated MDL needed to prepare your MDL Standard Phosphorus Solution.  Concentration units are in µg P/L.</w:t>
      </w:r>
    </w:p>
    <w:tbl>
      <w:tblPr>
        <w:tblStyle w:val="TableGrid"/>
        <w:tblpPr w:leftFromText="180" w:rightFromText="180" w:vertAnchor="text" w:horzAnchor="page" w:tblpX="3337" w:tblpY="8"/>
        <w:tblOverlap w:val="never"/>
        <w:tblW w:w="0" w:type="auto"/>
        <w:tblLook w:val="00A0" w:firstRow="1" w:lastRow="0" w:firstColumn="1" w:lastColumn="0" w:noHBand="0" w:noVBand="0"/>
      </w:tblPr>
      <w:tblGrid>
        <w:gridCol w:w="1998"/>
        <w:gridCol w:w="2880"/>
      </w:tblGrid>
      <w:tr w:rsidR="00076972" w:rsidRPr="00B178F2" w:rsidTr="00C27CB7">
        <w:trPr>
          <w:trHeight w:val="313"/>
        </w:trPr>
        <w:tc>
          <w:tcPr>
            <w:tcW w:w="1998" w:type="dxa"/>
            <w:vAlign w:val="center"/>
          </w:tcPr>
          <w:p w:rsidR="00076972" w:rsidRPr="00B178F2" w:rsidRDefault="00076972" w:rsidP="007C3452">
            <w:pPr>
              <w:contextualSpacing/>
              <w:jc w:val="center"/>
              <w:rPr>
                <w:rFonts w:cs="Times New Roman"/>
              </w:rPr>
            </w:pPr>
            <w:r w:rsidRPr="00B178F2">
              <w:rPr>
                <w:rFonts w:cs="Times New Roman"/>
              </w:rPr>
              <w:t>Blank Aliquot</w:t>
            </w:r>
          </w:p>
        </w:tc>
        <w:tc>
          <w:tcPr>
            <w:tcW w:w="2880" w:type="dxa"/>
            <w:vAlign w:val="center"/>
          </w:tcPr>
          <w:p w:rsidR="00076972" w:rsidRPr="00B178F2" w:rsidRDefault="00076972" w:rsidP="007C3452">
            <w:pPr>
              <w:ind w:left="-7"/>
              <w:contextualSpacing/>
              <w:jc w:val="center"/>
              <w:rPr>
                <w:rFonts w:cs="Times New Roman"/>
              </w:rPr>
            </w:pPr>
            <w:r w:rsidRPr="00B178F2">
              <w:rPr>
                <w:rFonts w:cs="Times New Roman"/>
              </w:rPr>
              <w:t>Absorbance</w:t>
            </w:r>
          </w:p>
        </w:tc>
      </w:tr>
      <w:tr w:rsidR="00076972" w:rsidRPr="00B178F2" w:rsidTr="00C27CB7">
        <w:trPr>
          <w:trHeight w:val="313"/>
        </w:trPr>
        <w:tc>
          <w:tcPr>
            <w:tcW w:w="1998" w:type="dxa"/>
            <w:vAlign w:val="center"/>
          </w:tcPr>
          <w:p w:rsidR="00076972" w:rsidRPr="00B178F2" w:rsidRDefault="00076972" w:rsidP="007C3452">
            <w:pPr>
              <w:contextualSpacing/>
              <w:jc w:val="center"/>
              <w:rPr>
                <w:rFonts w:cs="Times New Roman"/>
              </w:rPr>
            </w:pPr>
            <w:r w:rsidRPr="00B178F2">
              <w:rPr>
                <w:rFonts w:cs="Times New Roman"/>
              </w:rPr>
              <w:t>1</w:t>
            </w:r>
          </w:p>
        </w:tc>
        <w:tc>
          <w:tcPr>
            <w:tcW w:w="2880" w:type="dxa"/>
            <w:vAlign w:val="center"/>
          </w:tcPr>
          <w:p w:rsidR="00076972" w:rsidRPr="00B178F2" w:rsidRDefault="00076972" w:rsidP="007C3452">
            <w:pPr>
              <w:ind w:left="-7"/>
              <w:contextualSpacing/>
              <w:jc w:val="center"/>
              <w:rPr>
                <w:rFonts w:cs="Times New Roman"/>
              </w:rPr>
            </w:pPr>
            <w:r w:rsidRPr="00B178F2">
              <w:rPr>
                <w:rFonts w:cs="Times New Roman"/>
              </w:rPr>
              <w:t>0.007</w:t>
            </w:r>
          </w:p>
        </w:tc>
      </w:tr>
      <w:tr w:rsidR="00076972" w:rsidRPr="00B178F2" w:rsidTr="00C27CB7">
        <w:trPr>
          <w:trHeight w:val="298"/>
        </w:trPr>
        <w:tc>
          <w:tcPr>
            <w:tcW w:w="1998" w:type="dxa"/>
            <w:vAlign w:val="center"/>
          </w:tcPr>
          <w:p w:rsidR="00076972" w:rsidRPr="00B178F2" w:rsidRDefault="00076972" w:rsidP="007C3452">
            <w:pPr>
              <w:contextualSpacing/>
              <w:jc w:val="center"/>
              <w:rPr>
                <w:rFonts w:cs="Times New Roman"/>
              </w:rPr>
            </w:pPr>
            <w:r w:rsidRPr="00B178F2">
              <w:rPr>
                <w:rFonts w:cs="Times New Roman"/>
              </w:rPr>
              <w:t>2</w:t>
            </w:r>
          </w:p>
        </w:tc>
        <w:tc>
          <w:tcPr>
            <w:tcW w:w="2880" w:type="dxa"/>
            <w:vAlign w:val="center"/>
          </w:tcPr>
          <w:p w:rsidR="00076972" w:rsidRPr="00B178F2" w:rsidRDefault="00076972" w:rsidP="007C3452">
            <w:pPr>
              <w:ind w:left="-7"/>
              <w:contextualSpacing/>
              <w:jc w:val="center"/>
              <w:rPr>
                <w:rFonts w:cs="Times New Roman"/>
              </w:rPr>
            </w:pPr>
            <w:r w:rsidRPr="00B178F2">
              <w:rPr>
                <w:rFonts w:cs="Times New Roman"/>
              </w:rPr>
              <w:t>0.016</w:t>
            </w:r>
          </w:p>
        </w:tc>
      </w:tr>
      <w:tr w:rsidR="00076972" w:rsidRPr="00B178F2" w:rsidTr="00C27CB7">
        <w:trPr>
          <w:trHeight w:val="313"/>
        </w:trPr>
        <w:tc>
          <w:tcPr>
            <w:tcW w:w="1998" w:type="dxa"/>
            <w:vAlign w:val="center"/>
          </w:tcPr>
          <w:p w:rsidR="00076972" w:rsidRPr="00B178F2" w:rsidRDefault="00076972" w:rsidP="007C3452">
            <w:pPr>
              <w:contextualSpacing/>
              <w:jc w:val="center"/>
              <w:rPr>
                <w:rFonts w:cs="Times New Roman"/>
              </w:rPr>
            </w:pPr>
            <w:r w:rsidRPr="00B178F2">
              <w:rPr>
                <w:rFonts w:cs="Times New Roman"/>
              </w:rPr>
              <w:t>3</w:t>
            </w:r>
          </w:p>
        </w:tc>
        <w:tc>
          <w:tcPr>
            <w:tcW w:w="2880" w:type="dxa"/>
            <w:vAlign w:val="center"/>
          </w:tcPr>
          <w:p w:rsidR="00076972" w:rsidRPr="00B178F2" w:rsidRDefault="00076972" w:rsidP="007C3452">
            <w:pPr>
              <w:ind w:left="-7"/>
              <w:contextualSpacing/>
              <w:jc w:val="center"/>
              <w:rPr>
                <w:rFonts w:cs="Times New Roman"/>
              </w:rPr>
            </w:pPr>
            <w:r w:rsidRPr="00B178F2">
              <w:rPr>
                <w:rFonts w:cs="Times New Roman"/>
              </w:rPr>
              <w:t>0.018</w:t>
            </w:r>
          </w:p>
        </w:tc>
      </w:tr>
      <w:tr w:rsidR="00076972" w:rsidRPr="00B178F2" w:rsidTr="00C27CB7">
        <w:trPr>
          <w:trHeight w:val="313"/>
        </w:trPr>
        <w:tc>
          <w:tcPr>
            <w:tcW w:w="1998" w:type="dxa"/>
            <w:vAlign w:val="center"/>
          </w:tcPr>
          <w:p w:rsidR="00076972" w:rsidRPr="00B178F2" w:rsidRDefault="00076972" w:rsidP="007C3452">
            <w:pPr>
              <w:contextualSpacing/>
              <w:jc w:val="center"/>
              <w:rPr>
                <w:rFonts w:cs="Times New Roman"/>
              </w:rPr>
            </w:pPr>
            <w:r w:rsidRPr="00B178F2">
              <w:rPr>
                <w:rFonts w:cs="Times New Roman"/>
              </w:rPr>
              <w:t>4</w:t>
            </w:r>
          </w:p>
        </w:tc>
        <w:tc>
          <w:tcPr>
            <w:tcW w:w="2880" w:type="dxa"/>
            <w:vAlign w:val="center"/>
          </w:tcPr>
          <w:p w:rsidR="00076972" w:rsidRPr="00B178F2" w:rsidRDefault="00076972" w:rsidP="007C3452">
            <w:pPr>
              <w:ind w:left="-7"/>
              <w:contextualSpacing/>
              <w:jc w:val="center"/>
              <w:rPr>
                <w:rFonts w:cs="Times New Roman"/>
              </w:rPr>
            </w:pPr>
            <w:r w:rsidRPr="00B178F2">
              <w:rPr>
                <w:rFonts w:cs="Times New Roman"/>
              </w:rPr>
              <w:t>0.027</w:t>
            </w:r>
          </w:p>
        </w:tc>
      </w:tr>
      <w:tr w:rsidR="00076972" w:rsidRPr="00B178F2" w:rsidTr="00C27CB7">
        <w:trPr>
          <w:trHeight w:val="313"/>
        </w:trPr>
        <w:tc>
          <w:tcPr>
            <w:tcW w:w="1998" w:type="dxa"/>
            <w:vAlign w:val="center"/>
          </w:tcPr>
          <w:p w:rsidR="00076972" w:rsidRPr="00B178F2" w:rsidRDefault="00076972" w:rsidP="007C3452">
            <w:pPr>
              <w:contextualSpacing/>
              <w:jc w:val="center"/>
              <w:rPr>
                <w:rFonts w:cs="Times New Roman"/>
              </w:rPr>
            </w:pPr>
            <w:r w:rsidRPr="00B178F2">
              <w:rPr>
                <w:rFonts w:cs="Times New Roman"/>
              </w:rPr>
              <w:t>5</w:t>
            </w:r>
          </w:p>
        </w:tc>
        <w:tc>
          <w:tcPr>
            <w:tcW w:w="2880" w:type="dxa"/>
            <w:vAlign w:val="center"/>
          </w:tcPr>
          <w:p w:rsidR="00076972" w:rsidRPr="00B178F2" w:rsidRDefault="00076972" w:rsidP="007C3452">
            <w:pPr>
              <w:ind w:left="-7"/>
              <w:contextualSpacing/>
              <w:jc w:val="center"/>
              <w:rPr>
                <w:rFonts w:cs="Times New Roman"/>
              </w:rPr>
            </w:pPr>
            <w:r w:rsidRPr="00B178F2">
              <w:rPr>
                <w:rFonts w:cs="Times New Roman"/>
              </w:rPr>
              <w:t>0.009</w:t>
            </w:r>
          </w:p>
        </w:tc>
      </w:tr>
      <w:tr w:rsidR="00076972" w:rsidRPr="00B178F2" w:rsidTr="00C27CB7">
        <w:trPr>
          <w:trHeight w:val="298"/>
        </w:trPr>
        <w:tc>
          <w:tcPr>
            <w:tcW w:w="1998" w:type="dxa"/>
            <w:vAlign w:val="center"/>
          </w:tcPr>
          <w:p w:rsidR="00076972" w:rsidRPr="00B178F2" w:rsidRDefault="00076972" w:rsidP="007C3452">
            <w:pPr>
              <w:contextualSpacing/>
              <w:jc w:val="center"/>
              <w:rPr>
                <w:rFonts w:cs="Times New Roman"/>
              </w:rPr>
            </w:pPr>
            <w:r w:rsidRPr="00B178F2">
              <w:rPr>
                <w:rFonts w:cs="Times New Roman"/>
              </w:rPr>
              <w:t>6</w:t>
            </w:r>
          </w:p>
        </w:tc>
        <w:tc>
          <w:tcPr>
            <w:tcW w:w="2880" w:type="dxa"/>
            <w:vAlign w:val="center"/>
          </w:tcPr>
          <w:p w:rsidR="00076972" w:rsidRPr="00B178F2" w:rsidRDefault="00076972" w:rsidP="007C3452">
            <w:pPr>
              <w:ind w:left="-7"/>
              <w:contextualSpacing/>
              <w:jc w:val="center"/>
              <w:rPr>
                <w:rFonts w:cs="Times New Roman"/>
              </w:rPr>
            </w:pPr>
            <w:r w:rsidRPr="00B178F2">
              <w:rPr>
                <w:rFonts w:cs="Times New Roman"/>
              </w:rPr>
              <w:t>0.024</w:t>
            </w:r>
          </w:p>
        </w:tc>
      </w:tr>
      <w:tr w:rsidR="00076972" w:rsidRPr="00B178F2" w:rsidTr="00C27CB7">
        <w:trPr>
          <w:trHeight w:val="383"/>
        </w:trPr>
        <w:tc>
          <w:tcPr>
            <w:tcW w:w="1998" w:type="dxa"/>
            <w:vAlign w:val="center"/>
          </w:tcPr>
          <w:p w:rsidR="00076972" w:rsidRPr="00B178F2" w:rsidRDefault="00076972" w:rsidP="007C3452">
            <w:pPr>
              <w:contextualSpacing/>
              <w:jc w:val="center"/>
              <w:rPr>
                <w:rFonts w:cs="Times New Roman"/>
              </w:rPr>
            </w:pPr>
            <w:r w:rsidRPr="00B178F2">
              <w:rPr>
                <w:rFonts w:cs="Times New Roman"/>
              </w:rPr>
              <w:t>7</w:t>
            </w:r>
          </w:p>
        </w:tc>
        <w:tc>
          <w:tcPr>
            <w:tcW w:w="2880" w:type="dxa"/>
            <w:vAlign w:val="center"/>
          </w:tcPr>
          <w:p w:rsidR="00076972" w:rsidRPr="00B178F2" w:rsidRDefault="00076972" w:rsidP="007C3452">
            <w:pPr>
              <w:ind w:left="-7"/>
              <w:contextualSpacing/>
              <w:jc w:val="center"/>
              <w:rPr>
                <w:rFonts w:cs="Times New Roman"/>
              </w:rPr>
            </w:pPr>
            <w:r w:rsidRPr="00B178F2">
              <w:rPr>
                <w:rFonts w:cs="Times New Roman"/>
              </w:rPr>
              <w:t>0.013</w:t>
            </w:r>
          </w:p>
        </w:tc>
      </w:tr>
      <w:tr w:rsidR="00076972" w:rsidRPr="00B178F2" w:rsidTr="00C27CB7">
        <w:trPr>
          <w:trHeight w:val="298"/>
        </w:trPr>
        <w:tc>
          <w:tcPr>
            <w:tcW w:w="4878" w:type="dxa"/>
            <w:gridSpan w:val="2"/>
          </w:tcPr>
          <w:p w:rsidR="00076972" w:rsidRPr="00B178F2" w:rsidRDefault="00076972" w:rsidP="007C3452">
            <w:pPr>
              <w:contextualSpacing/>
              <w:rPr>
                <w:rFonts w:cs="Times New Roman"/>
              </w:rPr>
            </w:pPr>
            <w:r w:rsidRPr="00B178F2">
              <w:rPr>
                <w:rFonts w:cs="Times New Roman"/>
              </w:rPr>
              <w:t>Calibration Equation:  y = 0.00064x + 0.0029</w:t>
            </w:r>
          </w:p>
        </w:tc>
      </w:tr>
    </w:tbl>
    <w:p w:rsidR="00076972" w:rsidRPr="00B178F2" w:rsidRDefault="00076972" w:rsidP="007C3452">
      <w:pPr>
        <w:pStyle w:val="ListParagraph"/>
        <w:spacing w:after="0" w:line="240" w:lineRule="auto"/>
        <w:ind w:left="360"/>
        <w:jc w:val="both"/>
        <w:rPr>
          <w:rFonts w:cs="Times New Roman"/>
        </w:rPr>
      </w:pPr>
    </w:p>
    <w:p w:rsidR="00076972" w:rsidRPr="00B178F2" w:rsidRDefault="00076972" w:rsidP="007C3452">
      <w:pPr>
        <w:pStyle w:val="ListParagraph"/>
        <w:spacing w:after="0" w:line="240" w:lineRule="auto"/>
        <w:ind w:left="360"/>
        <w:jc w:val="both"/>
        <w:rPr>
          <w:rFonts w:cs="Times New Roman"/>
        </w:rPr>
      </w:pPr>
    </w:p>
    <w:p w:rsidR="00076972" w:rsidRPr="00B178F2" w:rsidRDefault="00076972" w:rsidP="007C3452">
      <w:pPr>
        <w:pStyle w:val="ListParagraph"/>
        <w:spacing w:after="0" w:line="240" w:lineRule="auto"/>
        <w:ind w:left="360"/>
        <w:jc w:val="both"/>
        <w:rPr>
          <w:rFonts w:cs="Times New Roman"/>
        </w:rPr>
      </w:pPr>
    </w:p>
    <w:p w:rsidR="00076972" w:rsidRPr="00B178F2" w:rsidRDefault="00076972" w:rsidP="007C3452">
      <w:pPr>
        <w:spacing w:after="0" w:line="240" w:lineRule="auto"/>
        <w:ind w:left="360"/>
        <w:contextualSpacing/>
        <w:jc w:val="both"/>
        <w:rPr>
          <w:rFonts w:cs="Times New Roman"/>
        </w:rPr>
      </w:pPr>
    </w:p>
    <w:p w:rsidR="00076972" w:rsidRPr="00B178F2" w:rsidRDefault="00076972" w:rsidP="007C3452">
      <w:pPr>
        <w:spacing w:after="0" w:line="240" w:lineRule="auto"/>
        <w:ind w:left="360"/>
        <w:contextualSpacing/>
        <w:jc w:val="both"/>
        <w:rPr>
          <w:rFonts w:cs="Times New Roman"/>
        </w:rPr>
      </w:pPr>
    </w:p>
    <w:p w:rsidR="00076972" w:rsidRPr="00B178F2" w:rsidRDefault="00076972" w:rsidP="007C3452">
      <w:pPr>
        <w:spacing w:after="0" w:line="240" w:lineRule="auto"/>
        <w:ind w:left="360"/>
        <w:contextualSpacing/>
        <w:jc w:val="both"/>
        <w:rPr>
          <w:rFonts w:cs="Times New Roman"/>
        </w:rPr>
      </w:pPr>
    </w:p>
    <w:p w:rsidR="00076972" w:rsidRPr="00B178F2" w:rsidRDefault="00076972" w:rsidP="007C3452">
      <w:pPr>
        <w:spacing w:after="0" w:line="240" w:lineRule="auto"/>
        <w:ind w:left="360"/>
        <w:contextualSpacing/>
        <w:jc w:val="both"/>
        <w:rPr>
          <w:rFonts w:cs="Times New Roman"/>
        </w:rPr>
      </w:pPr>
    </w:p>
    <w:p w:rsidR="00076972" w:rsidRPr="00B178F2" w:rsidRDefault="00076972" w:rsidP="007C3452">
      <w:pPr>
        <w:spacing w:after="0" w:line="240" w:lineRule="auto"/>
        <w:ind w:left="360"/>
        <w:contextualSpacing/>
        <w:jc w:val="both"/>
        <w:rPr>
          <w:rFonts w:cs="Times New Roman"/>
        </w:rPr>
      </w:pPr>
    </w:p>
    <w:p w:rsidR="00076972" w:rsidRPr="00B178F2" w:rsidRDefault="00076972" w:rsidP="007C3452">
      <w:pPr>
        <w:spacing w:after="0" w:line="240" w:lineRule="auto"/>
        <w:ind w:left="360"/>
        <w:contextualSpacing/>
        <w:jc w:val="both"/>
        <w:rPr>
          <w:rFonts w:cs="Times New Roman"/>
        </w:rPr>
      </w:pPr>
    </w:p>
    <w:p w:rsidR="00076972" w:rsidRPr="00B178F2" w:rsidRDefault="00076972" w:rsidP="007C3452">
      <w:pPr>
        <w:spacing w:after="0" w:line="240" w:lineRule="auto"/>
        <w:ind w:left="360"/>
        <w:contextualSpacing/>
        <w:jc w:val="both"/>
        <w:rPr>
          <w:rFonts w:cs="Times New Roman"/>
        </w:rPr>
      </w:pPr>
    </w:p>
    <w:p w:rsidR="00076972" w:rsidRPr="00B178F2" w:rsidRDefault="00076972" w:rsidP="007C3452">
      <w:pPr>
        <w:spacing w:after="0" w:line="240" w:lineRule="auto"/>
        <w:ind w:left="360"/>
        <w:contextualSpacing/>
        <w:jc w:val="both"/>
        <w:rPr>
          <w:rFonts w:cs="Times New Roman"/>
        </w:rPr>
      </w:pPr>
    </w:p>
    <w:p w:rsidR="00076972" w:rsidRPr="00B178F2" w:rsidRDefault="00076972" w:rsidP="007C3452">
      <w:pPr>
        <w:spacing w:after="0" w:line="240" w:lineRule="auto"/>
        <w:ind w:left="360"/>
        <w:contextualSpacing/>
        <w:jc w:val="both"/>
        <w:rPr>
          <w:rFonts w:cs="Times New Roman"/>
        </w:rPr>
      </w:pPr>
    </w:p>
    <w:p w:rsidR="00076972" w:rsidRPr="00B178F2" w:rsidRDefault="00076972" w:rsidP="00076972">
      <w:pPr>
        <w:pStyle w:val="ListParagraph"/>
        <w:numPr>
          <w:ilvl w:val="0"/>
          <w:numId w:val="3"/>
        </w:numPr>
        <w:spacing w:after="0" w:line="240" w:lineRule="auto"/>
        <w:ind w:left="360"/>
        <w:jc w:val="both"/>
        <w:rPr>
          <w:rFonts w:cs="Times New Roman"/>
          <w:b/>
        </w:rPr>
      </w:pPr>
      <w:r w:rsidRPr="00B178F2">
        <w:rPr>
          <w:rFonts w:cs="Times New Roman"/>
        </w:rPr>
        <w:lastRenderedPageBreak/>
        <w:t xml:space="preserve">Determine the concentrations and calculate the volumes of </w:t>
      </w:r>
      <w:r w:rsidRPr="00B178F2">
        <w:rPr>
          <w:rFonts w:cs="Times New Roman"/>
          <w:i/>
        </w:rPr>
        <w:t>Standard Phosphate Solution</w:t>
      </w:r>
      <w:r w:rsidRPr="00B178F2">
        <w:rPr>
          <w:rFonts w:cs="Times New Roman"/>
        </w:rPr>
        <w:t xml:space="preserve"> (~ 2.5 mg P/L) from the “</w:t>
      </w:r>
      <w:r w:rsidRPr="00B178F2">
        <w:rPr>
          <w:rFonts w:cs="Times New Roman"/>
          <w:color w:val="211D1E"/>
        </w:rPr>
        <w:t xml:space="preserve">Ascorbic Acid Method for Phosphorus Determination” lab needed to prepare the standard phosphorus solutions for your calibration curve. The concentrations of standards should range from the estimated MDL to 0.4 mg P/L. These calculations should be specific to the actual concentration of </w:t>
      </w:r>
      <w:r w:rsidRPr="00B178F2">
        <w:rPr>
          <w:rFonts w:cs="Times New Roman"/>
          <w:i/>
        </w:rPr>
        <w:t>Standard Phosphate Solution</w:t>
      </w:r>
      <w:r w:rsidRPr="00B178F2">
        <w:rPr>
          <w:rFonts w:cs="Times New Roman"/>
        </w:rPr>
        <w:t xml:space="preserve"> </w:t>
      </w:r>
      <w:r w:rsidRPr="00B178F2">
        <w:rPr>
          <w:rFonts w:cs="Times New Roman"/>
          <w:color w:val="211D1E"/>
        </w:rPr>
        <w:t>you made. Make a table in your notebook to reflect how the standards will be prepared.</w:t>
      </w:r>
    </w:p>
    <w:p w:rsidR="00076972" w:rsidRPr="00B178F2" w:rsidRDefault="00076972" w:rsidP="00076972">
      <w:pPr>
        <w:pStyle w:val="ListParagraph"/>
        <w:numPr>
          <w:ilvl w:val="0"/>
          <w:numId w:val="3"/>
        </w:numPr>
        <w:spacing w:after="0" w:line="240" w:lineRule="auto"/>
        <w:ind w:left="360"/>
        <w:jc w:val="both"/>
        <w:rPr>
          <w:rFonts w:cs="Times New Roman"/>
          <w:b/>
        </w:rPr>
      </w:pPr>
      <w:r w:rsidRPr="00B178F2">
        <w:rPr>
          <w:rFonts w:cs="Times New Roman"/>
        </w:rPr>
        <w:t xml:space="preserve">Calculate what the increase in phosphorus concentration will be when you add 2.00 mL of your </w:t>
      </w:r>
      <w:r w:rsidRPr="00B178F2">
        <w:rPr>
          <w:rFonts w:cs="Times New Roman"/>
          <w:i/>
        </w:rPr>
        <w:t>Standard Phosphate Solution</w:t>
      </w:r>
      <w:r w:rsidRPr="00B178F2">
        <w:rPr>
          <w:rFonts w:cs="Times New Roman"/>
        </w:rPr>
        <w:t xml:space="preserve"> to 50.00 mL of lake water. Again,</w:t>
      </w:r>
      <w:r w:rsidRPr="00B178F2">
        <w:rPr>
          <w:rFonts w:cs="Times New Roman"/>
          <w:color w:val="211D1E"/>
        </w:rPr>
        <w:t xml:space="preserve"> the calculation should be specific to your actual concentration of </w:t>
      </w:r>
      <w:r w:rsidRPr="00B178F2">
        <w:rPr>
          <w:rFonts w:cs="Times New Roman"/>
          <w:i/>
        </w:rPr>
        <w:t>Standard Phosphate Solution</w:t>
      </w:r>
      <w:r w:rsidRPr="00B178F2">
        <w:rPr>
          <w:rFonts w:cs="Times New Roman"/>
          <w:color w:val="211D1E"/>
        </w:rPr>
        <w:t>.</w:t>
      </w:r>
    </w:p>
    <w:p w:rsidR="00076972" w:rsidRPr="00B178F2" w:rsidRDefault="00076972" w:rsidP="007C3452">
      <w:pPr>
        <w:spacing w:after="0" w:line="240" w:lineRule="auto"/>
        <w:contextualSpacing/>
        <w:jc w:val="both"/>
        <w:rPr>
          <w:rFonts w:cs="Times New Roman"/>
          <w:b/>
        </w:rPr>
      </w:pPr>
    </w:p>
    <w:p w:rsidR="00076972" w:rsidRPr="00B178F2" w:rsidRDefault="00076972" w:rsidP="007C3452">
      <w:pPr>
        <w:spacing w:after="120" w:line="240" w:lineRule="auto"/>
        <w:contextualSpacing/>
        <w:jc w:val="both"/>
        <w:rPr>
          <w:rFonts w:cs="Times New Roman"/>
          <w:b/>
          <w:caps/>
        </w:rPr>
      </w:pPr>
      <w:r w:rsidRPr="00B178F2">
        <w:rPr>
          <w:rFonts w:cs="Times New Roman"/>
          <w:b/>
          <w:caps/>
        </w:rPr>
        <w:t xml:space="preserve">Before you </w:t>
      </w:r>
      <w:r w:rsidR="00173130">
        <w:rPr>
          <w:rFonts w:cs="Times New Roman"/>
          <w:b/>
          <w:caps/>
        </w:rPr>
        <w:t>BEGIN</w:t>
      </w:r>
      <w:r w:rsidRPr="00B178F2">
        <w:rPr>
          <w:rFonts w:cs="Times New Roman"/>
          <w:b/>
          <w:caps/>
        </w:rPr>
        <w:t>:</w:t>
      </w:r>
    </w:p>
    <w:p w:rsidR="00076972" w:rsidRPr="00B178F2" w:rsidRDefault="00076972" w:rsidP="00076972">
      <w:pPr>
        <w:pStyle w:val="ListParagraph"/>
        <w:numPr>
          <w:ilvl w:val="0"/>
          <w:numId w:val="2"/>
        </w:numPr>
        <w:spacing w:after="0" w:line="240" w:lineRule="auto"/>
        <w:ind w:left="360" w:hanging="373"/>
        <w:jc w:val="both"/>
        <w:rPr>
          <w:rFonts w:cs="Times New Roman"/>
        </w:rPr>
      </w:pPr>
      <w:r w:rsidRPr="00B178F2">
        <w:rPr>
          <w:rFonts w:cs="Times New Roman"/>
        </w:rPr>
        <w:t>Know what an MDL is and what information/data is needed to calculate it.</w:t>
      </w:r>
    </w:p>
    <w:p w:rsidR="00076972" w:rsidRPr="00B178F2" w:rsidRDefault="00076972" w:rsidP="00076972">
      <w:pPr>
        <w:pStyle w:val="ListParagraph"/>
        <w:numPr>
          <w:ilvl w:val="0"/>
          <w:numId w:val="2"/>
        </w:numPr>
        <w:spacing w:after="0" w:line="240" w:lineRule="auto"/>
        <w:ind w:left="360" w:hanging="373"/>
        <w:jc w:val="both"/>
        <w:rPr>
          <w:rFonts w:cs="Times New Roman"/>
        </w:rPr>
      </w:pPr>
      <w:r w:rsidRPr="00B178F2">
        <w:rPr>
          <w:rFonts w:cs="Times New Roman"/>
        </w:rPr>
        <w:t>Know what a spike recovery is and what information/data is needed to calculate it.</w:t>
      </w:r>
    </w:p>
    <w:p w:rsidR="00076972" w:rsidRPr="00B178F2" w:rsidRDefault="00076972" w:rsidP="00076972">
      <w:pPr>
        <w:pStyle w:val="ListParagraph"/>
        <w:numPr>
          <w:ilvl w:val="0"/>
          <w:numId w:val="2"/>
        </w:numPr>
        <w:spacing w:after="0" w:line="240" w:lineRule="auto"/>
        <w:ind w:left="360" w:hanging="373"/>
        <w:jc w:val="both"/>
        <w:rPr>
          <w:rFonts w:cs="Times New Roman"/>
        </w:rPr>
      </w:pPr>
      <w:r w:rsidRPr="00B178F2">
        <w:rPr>
          <w:rFonts w:cs="Times New Roman"/>
        </w:rPr>
        <w:t>Understand why it is necessary to determine the MDL and to perform a spike recovery for an analytical method.</w:t>
      </w:r>
    </w:p>
    <w:p w:rsidR="00076972" w:rsidRPr="00B178F2" w:rsidRDefault="00076972" w:rsidP="00076972">
      <w:pPr>
        <w:pStyle w:val="ListParagraph"/>
        <w:numPr>
          <w:ilvl w:val="0"/>
          <w:numId w:val="2"/>
        </w:numPr>
        <w:spacing w:after="0" w:line="240" w:lineRule="auto"/>
        <w:ind w:left="360" w:hanging="373"/>
        <w:jc w:val="both"/>
        <w:rPr>
          <w:rFonts w:cs="Times New Roman"/>
        </w:rPr>
      </w:pPr>
      <w:r w:rsidRPr="00B178F2">
        <w:rPr>
          <w:rFonts w:cs="Times New Roman"/>
        </w:rPr>
        <w:t>Be familiar with Beer’s law and how to determine concentrations using absorbance data.</w:t>
      </w:r>
    </w:p>
    <w:p w:rsidR="00076972" w:rsidRPr="00B178F2" w:rsidRDefault="00076972" w:rsidP="00076972">
      <w:pPr>
        <w:pStyle w:val="ListParagraph"/>
        <w:numPr>
          <w:ilvl w:val="0"/>
          <w:numId w:val="2"/>
        </w:numPr>
        <w:spacing w:after="0" w:line="240" w:lineRule="auto"/>
        <w:ind w:left="360" w:hanging="373"/>
        <w:jc w:val="both"/>
        <w:rPr>
          <w:rFonts w:cs="Times New Roman"/>
        </w:rPr>
      </w:pPr>
      <w:r w:rsidRPr="00B178F2">
        <w:rPr>
          <w:rFonts w:cs="Times New Roman"/>
        </w:rPr>
        <w:t>Know what matrix effects are.</w:t>
      </w:r>
    </w:p>
    <w:p w:rsidR="00076972" w:rsidRPr="00B178F2" w:rsidRDefault="00076972" w:rsidP="00076972">
      <w:pPr>
        <w:pStyle w:val="ListParagraph"/>
        <w:numPr>
          <w:ilvl w:val="0"/>
          <w:numId w:val="2"/>
        </w:numPr>
        <w:spacing w:after="0" w:line="240" w:lineRule="auto"/>
        <w:ind w:left="360" w:hanging="373"/>
        <w:jc w:val="both"/>
        <w:rPr>
          <w:rFonts w:cs="Times New Roman"/>
        </w:rPr>
      </w:pPr>
      <w:r w:rsidRPr="00B178F2">
        <w:rPr>
          <w:rFonts w:cs="Times New Roman"/>
        </w:rPr>
        <w:t>Be comfortable with the calculations and experimental process of making dilutions from stock solutions.</w:t>
      </w:r>
    </w:p>
    <w:p w:rsidR="00076972" w:rsidRPr="00B178F2" w:rsidRDefault="00076972" w:rsidP="007C3452">
      <w:pPr>
        <w:spacing w:after="0" w:line="240" w:lineRule="auto"/>
        <w:contextualSpacing/>
        <w:jc w:val="both"/>
        <w:rPr>
          <w:rFonts w:cs="Times New Roman"/>
          <w:b/>
        </w:rPr>
      </w:pPr>
    </w:p>
    <w:p w:rsidR="00076972" w:rsidRPr="00B178F2" w:rsidRDefault="00076972" w:rsidP="007C3452">
      <w:pPr>
        <w:spacing w:after="120" w:line="240" w:lineRule="auto"/>
        <w:contextualSpacing/>
        <w:jc w:val="both"/>
        <w:rPr>
          <w:rFonts w:cs="Times New Roman"/>
          <w:b/>
          <w:caps/>
        </w:rPr>
      </w:pPr>
      <w:r w:rsidRPr="00B178F2">
        <w:rPr>
          <w:rFonts w:cs="Times New Roman"/>
          <w:b/>
          <w:caps/>
        </w:rPr>
        <w:t>Experimental</w:t>
      </w:r>
    </w:p>
    <w:p w:rsidR="00076972" w:rsidRPr="00B178F2" w:rsidRDefault="00076972" w:rsidP="007C3452">
      <w:pPr>
        <w:spacing w:after="0" w:line="240" w:lineRule="auto"/>
        <w:contextualSpacing/>
        <w:jc w:val="both"/>
        <w:rPr>
          <w:rFonts w:cs="Times New Roman"/>
          <w:b/>
          <w:i/>
        </w:rPr>
      </w:pPr>
      <w:r w:rsidRPr="00B178F2">
        <w:rPr>
          <w:rFonts w:cs="Times New Roman"/>
        </w:rPr>
        <w:t>Make sure to use acid washed glassware. For all glassware used, rinse with a small volume warmed 1 M HCl (at about 40</w:t>
      </w:r>
      <w:r w:rsidRPr="00B178F2">
        <w:rPr>
          <w:rFonts w:cs="Times New Roman"/>
          <w:vertAlign w:val="superscript"/>
        </w:rPr>
        <w:t>o</w:t>
      </w:r>
      <w:r w:rsidRPr="00B178F2">
        <w:rPr>
          <w:rFonts w:cs="Times New Roman"/>
        </w:rPr>
        <w:t xml:space="preserve">C) and then rinse numerous times with D.I. water. </w:t>
      </w:r>
      <w:r w:rsidRPr="00B178F2">
        <w:rPr>
          <w:rFonts w:cs="Times New Roman"/>
          <w:b/>
          <w:i/>
        </w:rPr>
        <w:t>Start the acid digestion of the lake samples as soon as possible!</w:t>
      </w:r>
    </w:p>
    <w:p w:rsidR="00076972" w:rsidRPr="00B178F2" w:rsidRDefault="00076972" w:rsidP="007C3452">
      <w:pPr>
        <w:pStyle w:val="CM17"/>
        <w:contextualSpacing/>
        <w:jc w:val="both"/>
        <w:rPr>
          <w:rFonts w:asciiTheme="minorHAnsi" w:hAnsiTheme="minorHAnsi"/>
          <w:sz w:val="22"/>
          <w:szCs w:val="22"/>
          <w:u w:val="single"/>
        </w:rPr>
      </w:pPr>
    </w:p>
    <w:p w:rsidR="00076972" w:rsidRPr="00B178F2" w:rsidRDefault="00076972" w:rsidP="007C3452">
      <w:pPr>
        <w:pStyle w:val="CM17"/>
        <w:contextualSpacing/>
        <w:jc w:val="both"/>
        <w:rPr>
          <w:rFonts w:asciiTheme="minorHAnsi" w:hAnsiTheme="minorHAnsi"/>
          <w:sz w:val="22"/>
          <w:szCs w:val="22"/>
        </w:rPr>
      </w:pPr>
      <w:r w:rsidRPr="00B178F2">
        <w:rPr>
          <w:rFonts w:asciiTheme="minorHAnsi" w:hAnsiTheme="minorHAnsi"/>
          <w:sz w:val="22"/>
          <w:szCs w:val="22"/>
          <w:u w:val="single"/>
        </w:rPr>
        <w:t>MDL Standard Phosphorus Solution</w:t>
      </w:r>
      <w:r w:rsidRPr="00B178F2">
        <w:rPr>
          <w:rFonts w:asciiTheme="minorHAnsi" w:hAnsiTheme="minorHAnsi"/>
          <w:sz w:val="22"/>
          <w:szCs w:val="22"/>
        </w:rPr>
        <w:t xml:space="preserve"> </w:t>
      </w:r>
    </w:p>
    <w:p w:rsidR="00076972" w:rsidRPr="00B178F2" w:rsidRDefault="00076972" w:rsidP="007C3452">
      <w:pPr>
        <w:pStyle w:val="CM17"/>
        <w:contextualSpacing/>
        <w:jc w:val="both"/>
        <w:rPr>
          <w:rFonts w:asciiTheme="minorHAnsi" w:hAnsiTheme="minorHAnsi"/>
          <w:color w:val="211D1E"/>
          <w:sz w:val="22"/>
          <w:szCs w:val="22"/>
        </w:rPr>
      </w:pPr>
      <w:r w:rsidRPr="00B178F2">
        <w:rPr>
          <w:rFonts w:asciiTheme="minorHAnsi" w:hAnsiTheme="minorHAnsi"/>
          <w:sz w:val="22"/>
          <w:szCs w:val="22"/>
        </w:rPr>
        <w:t xml:space="preserve">Prepare 500 ml of a standard phosphorus solution with a concentration equal to the estimated MDL that you calculated in the Prelaboratory Exercises.  Use your </w:t>
      </w:r>
      <w:r w:rsidRPr="00B178F2">
        <w:rPr>
          <w:rFonts w:asciiTheme="minorHAnsi" w:hAnsiTheme="minorHAnsi"/>
          <w:i/>
          <w:sz w:val="22"/>
          <w:szCs w:val="22"/>
        </w:rPr>
        <w:t>Standard Phosphate Solution</w:t>
      </w:r>
      <w:r w:rsidRPr="00B178F2">
        <w:rPr>
          <w:rFonts w:asciiTheme="minorHAnsi" w:hAnsiTheme="minorHAnsi"/>
          <w:sz w:val="22"/>
          <w:szCs w:val="22"/>
        </w:rPr>
        <w:t xml:space="preserve"> (Reagent </w:t>
      </w:r>
      <w:r w:rsidRPr="00B178F2">
        <w:rPr>
          <w:rFonts w:asciiTheme="minorHAnsi" w:hAnsiTheme="minorHAnsi"/>
          <w:i/>
          <w:sz w:val="22"/>
          <w:szCs w:val="22"/>
        </w:rPr>
        <w:t>g</w:t>
      </w:r>
      <w:r w:rsidRPr="00B178F2">
        <w:rPr>
          <w:rFonts w:asciiTheme="minorHAnsi" w:hAnsiTheme="minorHAnsi"/>
          <w:sz w:val="22"/>
          <w:szCs w:val="22"/>
        </w:rPr>
        <w:t>) from the “</w:t>
      </w:r>
      <w:r w:rsidRPr="00B178F2">
        <w:rPr>
          <w:rFonts w:asciiTheme="minorHAnsi" w:hAnsiTheme="minorHAnsi"/>
          <w:color w:val="211D1E"/>
          <w:sz w:val="22"/>
          <w:szCs w:val="22"/>
        </w:rPr>
        <w:t xml:space="preserve">Ascorbic Acid Method for Phosphorus Determination” to prepare this solution. Use distilled water as the blank.  Determine the concentration of phosphorus in at least 7 aliquots of this standard solution using the Ascorbic Acid Method for Phosphorus Determination. </w:t>
      </w:r>
      <w:r w:rsidRPr="00B178F2">
        <w:rPr>
          <w:rFonts w:asciiTheme="minorHAnsi" w:hAnsiTheme="minorHAnsi"/>
          <w:b/>
          <w:i/>
          <w:color w:val="211D1E"/>
          <w:sz w:val="22"/>
          <w:szCs w:val="22"/>
        </w:rPr>
        <w:t>You do not need to digest these samples.</w:t>
      </w:r>
      <w:r w:rsidRPr="00B178F2">
        <w:rPr>
          <w:rFonts w:asciiTheme="minorHAnsi" w:hAnsiTheme="minorHAnsi"/>
          <w:b/>
          <w:color w:val="211D1E"/>
          <w:sz w:val="22"/>
          <w:szCs w:val="22"/>
        </w:rPr>
        <w:t xml:space="preserve"> </w:t>
      </w:r>
      <w:r w:rsidRPr="00B178F2">
        <w:rPr>
          <w:rFonts w:asciiTheme="minorHAnsi" w:hAnsiTheme="minorHAnsi"/>
          <w:color w:val="211D1E"/>
          <w:sz w:val="22"/>
          <w:szCs w:val="22"/>
        </w:rPr>
        <w:t>Use the standard curve you prepare today to calculate the concentrations of the solutions.</w:t>
      </w:r>
    </w:p>
    <w:p w:rsidR="00076972" w:rsidRPr="00B178F2" w:rsidRDefault="00076972" w:rsidP="007C3452">
      <w:pPr>
        <w:pStyle w:val="Default"/>
        <w:contextualSpacing/>
        <w:jc w:val="both"/>
        <w:rPr>
          <w:rFonts w:asciiTheme="minorHAnsi" w:hAnsiTheme="minorHAnsi" w:cs="Times New Roman"/>
          <w:sz w:val="22"/>
          <w:szCs w:val="22"/>
          <w:u w:val="single"/>
        </w:rPr>
      </w:pPr>
    </w:p>
    <w:p w:rsidR="00076972" w:rsidRPr="00B178F2" w:rsidRDefault="00076972" w:rsidP="007C3452">
      <w:pPr>
        <w:pStyle w:val="Default"/>
        <w:contextualSpacing/>
        <w:jc w:val="both"/>
        <w:rPr>
          <w:rFonts w:asciiTheme="minorHAnsi" w:hAnsiTheme="minorHAnsi" w:cs="Times New Roman"/>
          <w:sz w:val="22"/>
          <w:szCs w:val="22"/>
        </w:rPr>
      </w:pPr>
      <w:r w:rsidRPr="00B178F2">
        <w:rPr>
          <w:rFonts w:asciiTheme="minorHAnsi" w:hAnsiTheme="minorHAnsi" w:cs="Times New Roman"/>
          <w:sz w:val="22"/>
          <w:szCs w:val="22"/>
          <w:u w:val="single"/>
        </w:rPr>
        <w:t>Phosphorus Standard Solutions for Calibration Curve</w:t>
      </w:r>
      <w:r w:rsidRPr="00B178F2">
        <w:rPr>
          <w:rFonts w:asciiTheme="minorHAnsi" w:hAnsiTheme="minorHAnsi" w:cs="Times New Roman"/>
          <w:sz w:val="22"/>
          <w:szCs w:val="22"/>
        </w:rPr>
        <w:t xml:space="preserve"> </w:t>
      </w:r>
    </w:p>
    <w:p w:rsidR="00076972" w:rsidRPr="00B178F2" w:rsidRDefault="00076972" w:rsidP="007C3452">
      <w:pPr>
        <w:pStyle w:val="Default"/>
        <w:contextualSpacing/>
        <w:jc w:val="both"/>
        <w:rPr>
          <w:rFonts w:asciiTheme="minorHAnsi" w:hAnsiTheme="minorHAnsi" w:cs="Times New Roman"/>
          <w:b/>
          <w:i/>
          <w:sz w:val="22"/>
          <w:szCs w:val="22"/>
        </w:rPr>
      </w:pPr>
      <w:r w:rsidRPr="00B178F2">
        <w:rPr>
          <w:rFonts w:asciiTheme="minorHAnsi" w:hAnsiTheme="minorHAnsi" w:cs="Times New Roman"/>
          <w:sz w:val="22"/>
          <w:szCs w:val="22"/>
        </w:rPr>
        <w:t xml:space="preserve">Prepare 6 standard phosphorus solutions ranging in concentration from the estimated MDL to 0.4 mg P/L. Explicitly plan out the concentrations of these solutions and the dilutions it will take to make these solutions in your laboratory notebook </w:t>
      </w:r>
      <w:r w:rsidRPr="00B178F2">
        <w:rPr>
          <w:rFonts w:asciiTheme="minorHAnsi" w:hAnsiTheme="minorHAnsi" w:cs="Times New Roman"/>
          <w:i/>
          <w:sz w:val="22"/>
          <w:szCs w:val="22"/>
        </w:rPr>
        <w:t xml:space="preserve">BEFORE </w:t>
      </w:r>
      <w:r w:rsidRPr="00B178F2">
        <w:rPr>
          <w:rFonts w:asciiTheme="minorHAnsi" w:hAnsiTheme="minorHAnsi" w:cs="Times New Roman"/>
          <w:sz w:val="22"/>
          <w:szCs w:val="22"/>
        </w:rPr>
        <w:t xml:space="preserve">the lab period begins.  Prepare these solutions and measure their absorbance while your lake water samples are digesting. </w:t>
      </w:r>
      <w:r w:rsidRPr="00B178F2">
        <w:rPr>
          <w:rFonts w:asciiTheme="minorHAnsi" w:hAnsiTheme="minorHAnsi" w:cs="Times New Roman"/>
          <w:b/>
          <w:i/>
          <w:sz w:val="22"/>
          <w:szCs w:val="22"/>
        </w:rPr>
        <w:t>You do not need to digest these standards.</w:t>
      </w:r>
    </w:p>
    <w:p w:rsidR="00076972" w:rsidRPr="00B178F2" w:rsidRDefault="00076972" w:rsidP="007C3452">
      <w:pPr>
        <w:pStyle w:val="Default"/>
        <w:contextualSpacing/>
        <w:jc w:val="both"/>
        <w:rPr>
          <w:rFonts w:asciiTheme="minorHAnsi" w:hAnsiTheme="minorHAnsi" w:cs="Times New Roman"/>
          <w:b/>
          <w:sz w:val="22"/>
          <w:szCs w:val="22"/>
        </w:rPr>
      </w:pPr>
    </w:p>
    <w:p w:rsidR="00076972" w:rsidRPr="00B178F2" w:rsidRDefault="00076972" w:rsidP="007C3452">
      <w:pPr>
        <w:spacing w:after="0" w:line="240" w:lineRule="auto"/>
        <w:contextualSpacing/>
        <w:jc w:val="both"/>
        <w:rPr>
          <w:rFonts w:cs="Times New Roman"/>
        </w:rPr>
      </w:pPr>
      <w:r w:rsidRPr="00B178F2">
        <w:rPr>
          <w:rFonts w:cs="Times New Roman"/>
          <w:u w:val="single"/>
        </w:rPr>
        <w:t>Spiked Lake Water Sample</w:t>
      </w:r>
      <w:r w:rsidRPr="00B178F2">
        <w:rPr>
          <w:rFonts w:cs="Times New Roman"/>
        </w:rPr>
        <w:t xml:space="preserve"> </w:t>
      </w:r>
    </w:p>
    <w:p w:rsidR="00076972" w:rsidRPr="00B178F2" w:rsidRDefault="00076972" w:rsidP="007C3452">
      <w:pPr>
        <w:spacing w:after="0" w:line="240" w:lineRule="auto"/>
        <w:contextualSpacing/>
        <w:jc w:val="both"/>
        <w:rPr>
          <w:rFonts w:cs="Times New Roman"/>
        </w:rPr>
      </w:pPr>
      <w:r w:rsidRPr="00B178F2">
        <w:rPr>
          <w:rFonts w:cs="Times New Roman"/>
        </w:rPr>
        <w:t xml:space="preserve">Take an aliquot of at least 100 mL of lake water from the carboy in the lab. Pipette 50 mL of this sample into two 250 mL Erlenmeyer flasks. One sample will be spiked and the other will not. Lake Mendota has a phosphorus concentration of approximately 0.1 mg P/L.  The spike should increase the concentration by ~0.1 mg P/L (to make the concentration ~0.2 mg P/L).  Add 2.00 mL of your </w:t>
      </w:r>
      <w:r w:rsidRPr="00B178F2">
        <w:rPr>
          <w:rFonts w:cs="Times New Roman"/>
          <w:i/>
        </w:rPr>
        <w:t>Standard Phosphate Solution</w:t>
      </w:r>
      <w:r w:rsidRPr="00B178F2">
        <w:rPr>
          <w:rFonts w:cs="Times New Roman"/>
        </w:rPr>
        <w:t xml:space="preserve"> (~2.5 mg P/L) from the “</w:t>
      </w:r>
      <w:r w:rsidRPr="00B178F2">
        <w:rPr>
          <w:color w:val="211D1E"/>
        </w:rPr>
        <w:t>Ascorbic Acid Method for Phosphorus Determination</w:t>
      </w:r>
      <w:r w:rsidRPr="00B178F2">
        <w:rPr>
          <w:rFonts w:cs="Times New Roman"/>
          <w:color w:val="211D1E"/>
        </w:rPr>
        <w:t xml:space="preserve">” lab to one of the 50 mL lake water samples. Accurately calculate the concentration of phosphorus added in the spike to the sample. </w:t>
      </w:r>
    </w:p>
    <w:p w:rsidR="00076972" w:rsidRPr="00B178F2" w:rsidRDefault="00076972" w:rsidP="007C3452">
      <w:pPr>
        <w:spacing w:after="0" w:line="240" w:lineRule="auto"/>
        <w:contextualSpacing/>
        <w:jc w:val="both"/>
        <w:rPr>
          <w:rFonts w:cs="Times New Roman"/>
          <w:u w:val="single"/>
        </w:rPr>
      </w:pPr>
    </w:p>
    <w:p w:rsidR="00076972" w:rsidRPr="00B178F2" w:rsidRDefault="00076972" w:rsidP="007C3452">
      <w:pPr>
        <w:spacing w:line="240" w:lineRule="auto"/>
        <w:contextualSpacing/>
        <w:rPr>
          <w:rFonts w:cs="Times New Roman"/>
          <w:u w:val="single"/>
        </w:rPr>
      </w:pPr>
      <w:r w:rsidRPr="00B178F2">
        <w:rPr>
          <w:rFonts w:cs="Times New Roman"/>
          <w:u w:val="single"/>
        </w:rPr>
        <w:br w:type="page"/>
      </w:r>
    </w:p>
    <w:p w:rsidR="00076972" w:rsidRPr="00B178F2" w:rsidRDefault="00076972" w:rsidP="007C3452">
      <w:pPr>
        <w:spacing w:after="0" w:line="240" w:lineRule="auto"/>
        <w:contextualSpacing/>
        <w:jc w:val="both"/>
        <w:rPr>
          <w:rFonts w:cs="Times New Roman"/>
        </w:rPr>
      </w:pPr>
      <w:r w:rsidRPr="00B178F2">
        <w:rPr>
          <w:rFonts w:cs="Times New Roman"/>
          <w:u w:val="single"/>
        </w:rPr>
        <w:lastRenderedPageBreak/>
        <w:t>Combined Reagent</w:t>
      </w:r>
      <w:r w:rsidRPr="00B178F2">
        <w:rPr>
          <w:rFonts w:cs="Times New Roman"/>
        </w:rPr>
        <w:t xml:space="preserve"> </w:t>
      </w:r>
    </w:p>
    <w:p w:rsidR="00076972" w:rsidRPr="00B178F2" w:rsidRDefault="00076972" w:rsidP="007C3452">
      <w:pPr>
        <w:spacing w:after="0" w:line="240" w:lineRule="auto"/>
        <w:contextualSpacing/>
        <w:jc w:val="both"/>
        <w:rPr>
          <w:rFonts w:cs="Times New Roman"/>
        </w:rPr>
      </w:pPr>
      <w:r w:rsidRPr="00B178F2">
        <w:rPr>
          <w:rFonts w:cs="Times New Roman"/>
        </w:rPr>
        <w:t xml:space="preserve">To prepare 100 mL of the combined reagent mix 50 mL </w:t>
      </w:r>
      <w:r w:rsidRPr="00B178F2">
        <w:rPr>
          <w:rFonts w:cs="Times New Roman"/>
          <w:i/>
          <w:iCs/>
        </w:rPr>
        <w:t xml:space="preserve">5N </w:t>
      </w:r>
      <w:r w:rsidRPr="00B178F2">
        <w:rPr>
          <w:rFonts w:cs="Times New Roman"/>
        </w:rPr>
        <w:t>H</w:t>
      </w:r>
      <w:r w:rsidRPr="00B178F2">
        <w:rPr>
          <w:rFonts w:cs="Times New Roman"/>
          <w:vertAlign w:val="subscript"/>
        </w:rPr>
        <w:t>2</w:t>
      </w:r>
      <w:r w:rsidRPr="00B178F2">
        <w:rPr>
          <w:rFonts w:cs="Times New Roman"/>
        </w:rPr>
        <w:t>S0</w:t>
      </w:r>
      <w:r w:rsidRPr="00B178F2">
        <w:rPr>
          <w:rFonts w:cs="Times New Roman"/>
          <w:vertAlign w:val="subscript"/>
        </w:rPr>
        <w:t>4</w:t>
      </w:r>
      <w:r w:rsidRPr="00B178F2">
        <w:rPr>
          <w:rFonts w:cs="Times New Roman"/>
        </w:rPr>
        <w:t xml:space="preserve">, 5 mL antimony potassium tartrate solution, 15 mL ammonium molybdate solution, and 30 mL ascorbic acid solution. </w:t>
      </w:r>
      <w:r w:rsidRPr="00B178F2">
        <w:rPr>
          <w:rFonts w:cs="Times New Roman"/>
          <w:b/>
          <w:i/>
          <w:iCs/>
        </w:rPr>
        <w:t>Mix after addition of each reagent</w:t>
      </w:r>
      <w:r w:rsidRPr="00B178F2">
        <w:rPr>
          <w:rFonts w:cs="Times New Roman"/>
          <w:b/>
          <w:i/>
        </w:rPr>
        <w:t xml:space="preserve"> and mix in the order given.</w:t>
      </w:r>
      <w:r w:rsidRPr="00B178F2">
        <w:rPr>
          <w:rFonts w:cs="Times New Roman"/>
        </w:rPr>
        <w:t xml:space="preserve"> If turbidity forms in the combined reagent, shake and let stand for a few minutes until turbidity disappears before proceeding. The combined reagent is stable for ~4 hours. </w:t>
      </w:r>
    </w:p>
    <w:p w:rsidR="00076972" w:rsidRPr="00B178F2" w:rsidRDefault="00076972" w:rsidP="007C3452">
      <w:pPr>
        <w:spacing w:after="0" w:line="240" w:lineRule="auto"/>
        <w:contextualSpacing/>
        <w:rPr>
          <w:rFonts w:cs="Times New Roman"/>
          <w:u w:val="single"/>
        </w:rPr>
      </w:pPr>
    </w:p>
    <w:p w:rsidR="00076972" w:rsidRPr="00B178F2" w:rsidRDefault="00076972" w:rsidP="007C3452">
      <w:pPr>
        <w:spacing w:after="0" w:line="240" w:lineRule="auto"/>
        <w:contextualSpacing/>
        <w:rPr>
          <w:rFonts w:cs="Times New Roman"/>
        </w:rPr>
      </w:pPr>
      <w:r w:rsidRPr="00B178F2">
        <w:rPr>
          <w:rFonts w:cs="Times New Roman"/>
          <w:u w:val="single"/>
        </w:rPr>
        <w:t>Persulfate Digestion of Lake Water Samples</w:t>
      </w:r>
      <w:r w:rsidRPr="00B178F2">
        <w:rPr>
          <w:rFonts w:cs="Times New Roman"/>
        </w:rPr>
        <w:t xml:space="preserve"> </w:t>
      </w:r>
    </w:p>
    <w:p w:rsidR="00076972" w:rsidRPr="00B178F2" w:rsidRDefault="00076972" w:rsidP="007C3452">
      <w:pPr>
        <w:spacing w:after="0" w:line="240" w:lineRule="auto"/>
        <w:contextualSpacing/>
        <w:rPr>
          <w:rFonts w:cs="Times New Roman"/>
          <w:color w:val="211D1E"/>
        </w:rPr>
      </w:pPr>
      <w:r w:rsidRPr="00B178F2">
        <w:rPr>
          <w:rFonts w:cs="Times New Roman"/>
          <w:noProof/>
        </w:rPr>
        <mc:AlternateContent>
          <mc:Choice Requires="wps">
            <w:drawing>
              <wp:anchor distT="0" distB="0" distL="114300" distR="114300" simplePos="0" relativeHeight="251663360" behindDoc="0" locked="0" layoutInCell="1" allowOverlap="1" wp14:anchorId="798EA69C" wp14:editId="709AB371">
                <wp:simplePos x="0" y="0"/>
                <wp:positionH relativeFrom="column">
                  <wp:posOffset>-26670</wp:posOffset>
                </wp:positionH>
                <wp:positionV relativeFrom="paragraph">
                  <wp:posOffset>741680</wp:posOffset>
                </wp:positionV>
                <wp:extent cx="5904230" cy="3787775"/>
                <wp:effectExtent l="38100" t="38100" r="115570" b="11747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8777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076972" w:rsidRPr="00781B86" w:rsidRDefault="00076972" w:rsidP="00781B86">
                            <w:pPr>
                              <w:spacing w:after="0" w:line="240" w:lineRule="auto"/>
                              <w:rPr>
                                <w:rFonts w:ascii="Arial" w:hAnsi="Arial" w:cs="Arial"/>
                                <w:sz w:val="20"/>
                                <w:szCs w:val="20"/>
                              </w:rPr>
                            </w:pPr>
                            <w:r w:rsidRPr="00781B86">
                              <w:rPr>
                                <w:rFonts w:ascii="Arial" w:hAnsi="Arial" w:cs="Arial"/>
                                <w:sz w:val="20"/>
                                <w:szCs w:val="20"/>
                              </w:rPr>
                              <w:t>5.  Persulfate Digestion Method</w:t>
                            </w:r>
                          </w:p>
                          <w:p w:rsidR="00076972" w:rsidRPr="00781B86" w:rsidRDefault="00076972" w:rsidP="00781B86">
                            <w:pPr>
                              <w:spacing w:after="0" w:line="240" w:lineRule="auto"/>
                              <w:ind w:firstLine="180"/>
                              <w:rPr>
                                <w:rFonts w:ascii="Times New Roman" w:hAnsi="Times New Roman" w:cs="Times New Roman"/>
                                <w:i/>
                                <w:sz w:val="20"/>
                                <w:szCs w:val="20"/>
                              </w:rPr>
                            </w:pPr>
                            <w:r w:rsidRPr="00781B86">
                              <w:rPr>
                                <w:rFonts w:ascii="Times New Roman" w:hAnsi="Times New Roman" w:cs="Times New Roman"/>
                                <w:i/>
                                <w:sz w:val="20"/>
                                <w:szCs w:val="20"/>
                              </w:rPr>
                              <w:t>a.  Apparatus:</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1)  </w:t>
                            </w:r>
                            <w:r w:rsidRPr="00781B86">
                              <w:rPr>
                                <w:rFonts w:ascii="Times New Roman" w:hAnsi="Times New Roman" w:cs="Times New Roman"/>
                                <w:i/>
                                <w:sz w:val="20"/>
                                <w:szCs w:val="20"/>
                              </w:rPr>
                              <w:t>Hot plate:</w:t>
                            </w:r>
                            <w:r w:rsidRPr="00781B86">
                              <w:rPr>
                                <w:rFonts w:ascii="Times New Roman" w:hAnsi="Times New Roman" w:cs="Times New Roman"/>
                                <w:sz w:val="20"/>
                                <w:szCs w:val="20"/>
                              </w:rPr>
                              <w:t xml:space="preserve">  A 30- </w:t>
                            </w:r>
                            <w:r w:rsidRPr="00781B86">
                              <w:rPr>
                                <w:rFonts w:ascii="Times New Roman" w:hAnsi="Times New Roman" w:cs="Times New Roman"/>
                                <w:sz w:val="20"/>
                                <w:szCs w:val="20"/>
                              </w:rPr>
                              <w:sym w:font="Symbol" w:char="F0B4"/>
                            </w:r>
                            <w:r w:rsidRPr="00781B86">
                              <w:rPr>
                                <w:rFonts w:ascii="Times New Roman" w:hAnsi="Times New Roman" w:cs="Times New Roman"/>
                                <w:sz w:val="20"/>
                                <w:szCs w:val="20"/>
                              </w:rPr>
                              <w:t xml:space="preserve"> 50-cm heating surface is adequate.</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2)  </w:t>
                            </w:r>
                            <w:r w:rsidRPr="00781B86">
                              <w:rPr>
                                <w:rFonts w:ascii="Times New Roman" w:hAnsi="Times New Roman" w:cs="Times New Roman"/>
                                <w:i/>
                                <w:sz w:val="20"/>
                                <w:szCs w:val="20"/>
                              </w:rPr>
                              <w:t>Autoclave:</w:t>
                            </w:r>
                            <w:r w:rsidRPr="00781B86">
                              <w:rPr>
                                <w:rFonts w:ascii="Times New Roman" w:hAnsi="Times New Roman" w:cs="Times New Roman"/>
                                <w:sz w:val="20"/>
                                <w:szCs w:val="20"/>
                              </w:rPr>
                              <w:t xml:space="preserve">  An autoclave or pressure cooker capable of developing 98 to 137 kPa may be used instead of a hot plate.</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3)  </w:t>
                            </w:r>
                            <w:r w:rsidRPr="00781B86">
                              <w:rPr>
                                <w:rFonts w:ascii="Times New Roman" w:hAnsi="Times New Roman" w:cs="Times New Roman"/>
                                <w:i/>
                                <w:sz w:val="20"/>
                                <w:szCs w:val="20"/>
                              </w:rPr>
                              <w:t>Glass scoop,</w:t>
                            </w:r>
                            <w:r w:rsidRPr="00781B86">
                              <w:rPr>
                                <w:rFonts w:ascii="Times New Roman" w:hAnsi="Times New Roman" w:cs="Times New Roman"/>
                                <w:sz w:val="20"/>
                                <w:szCs w:val="20"/>
                              </w:rPr>
                              <w:t xml:space="preserve"> to hold required amounts of persulfate crystals.</w:t>
                            </w:r>
                          </w:p>
                          <w:p w:rsidR="00076972" w:rsidRPr="00781B86" w:rsidRDefault="00076972" w:rsidP="00781B86">
                            <w:pPr>
                              <w:spacing w:after="0" w:line="240" w:lineRule="auto"/>
                              <w:ind w:firstLine="180"/>
                              <w:rPr>
                                <w:rFonts w:ascii="Times New Roman" w:hAnsi="Times New Roman" w:cs="Times New Roman"/>
                                <w:i/>
                                <w:sz w:val="20"/>
                                <w:szCs w:val="20"/>
                              </w:rPr>
                            </w:pPr>
                            <w:r w:rsidRPr="00781B86">
                              <w:rPr>
                                <w:rFonts w:ascii="Times New Roman" w:hAnsi="Times New Roman" w:cs="Times New Roman"/>
                                <w:i/>
                                <w:sz w:val="20"/>
                                <w:szCs w:val="20"/>
                              </w:rPr>
                              <w:t>b.  Reagents:</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1)  </w:t>
                            </w:r>
                            <w:r w:rsidRPr="00781B86">
                              <w:rPr>
                                <w:rFonts w:ascii="Times New Roman" w:hAnsi="Times New Roman" w:cs="Times New Roman"/>
                                <w:i/>
                                <w:sz w:val="20"/>
                                <w:szCs w:val="20"/>
                              </w:rPr>
                              <w:t>Phenolphthalein indicator aqueous solution.</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2)  </w:t>
                            </w:r>
                            <w:r w:rsidRPr="00781B86">
                              <w:rPr>
                                <w:rFonts w:ascii="Times New Roman" w:hAnsi="Times New Roman" w:cs="Times New Roman"/>
                                <w:i/>
                                <w:sz w:val="20"/>
                                <w:szCs w:val="20"/>
                              </w:rPr>
                              <w:t>Sulfuric acid solution:</w:t>
                            </w:r>
                            <w:r w:rsidRPr="00781B86">
                              <w:rPr>
                                <w:rFonts w:ascii="Times New Roman" w:hAnsi="Times New Roman" w:cs="Times New Roman"/>
                                <w:sz w:val="20"/>
                                <w:szCs w:val="20"/>
                              </w:rPr>
                              <w:t xml:space="preserve"> Carefully add 300 mL conc H</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SO</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 xml:space="preserve"> to approximately 600 mL distilled water and dilute to 1 L with distilled water.</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3)  </w:t>
                            </w:r>
                            <w:r w:rsidRPr="00781B86">
                              <w:rPr>
                                <w:rFonts w:ascii="Times New Roman" w:hAnsi="Times New Roman" w:cs="Times New Roman"/>
                                <w:i/>
                                <w:sz w:val="20"/>
                                <w:szCs w:val="20"/>
                              </w:rPr>
                              <w:t>Ammonium persulfate,</w:t>
                            </w:r>
                            <w:r w:rsidRPr="00781B86">
                              <w:rPr>
                                <w:rFonts w:ascii="Times New Roman" w:hAnsi="Times New Roman" w:cs="Times New Roman"/>
                                <w:sz w:val="20"/>
                                <w:szCs w:val="20"/>
                              </w:rPr>
                              <w:t xml:space="preserve"> (NH</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O</w:t>
                            </w:r>
                            <w:r w:rsidRPr="00781B86">
                              <w:rPr>
                                <w:rFonts w:ascii="Times New Roman" w:hAnsi="Times New Roman" w:cs="Times New Roman"/>
                                <w:sz w:val="20"/>
                                <w:szCs w:val="20"/>
                                <w:vertAlign w:val="subscript"/>
                              </w:rPr>
                              <w:t>8</w:t>
                            </w:r>
                            <w:r w:rsidRPr="00781B86">
                              <w:rPr>
                                <w:rFonts w:ascii="Times New Roman" w:hAnsi="Times New Roman" w:cs="Times New Roman"/>
                                <w:sz w:val="20"/>
                                <w:szCs w:val="20"/>
                              </w:rPr>
                              <w:t>, solid, or potassium persulfate, K</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O</w:t>
                            </w:r>
                            <w:r w:rsidRPr="00781B86">
                              <w:rPr>
                                <w:rFonts w:ascii="Times New Roman" w:hAnsi="Times New Roman" w:cs="Times New Roman"/>
                                <w:sz w:val="20"/>
                                <w:szCs w:val="20"/>
                                <w:vertAlign w:val="subscript"/>
                              </w:rPr>
                              <w:t>8</w:t>
                            </w:r>
                            <w:r w:rsidRPr="00781B86">
                              <w:rPr>
                                <w:rFonts w:ascii="Times New Roman" w:hAnsi="Times New Roman" w:cs="Times New Roman"/>
                                <w:sz w:val="20"/>
                                <w:szCs w:val="20"/>
                              </w:rPr>
                              <w:t>, solid.</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4)  </w:t>
                            </w:r>
                            <w:r w:rsidRPr="00781B86">
                              <w:rPr>
                                <w:rFonts w:ascii="Times New Roman" w:hAnsi="Times New Roman" w:cs="Times New Roman"/>
                                <w:i/>
                                <w:sz w:val="20"/>
                                <w:szCs w:val="20"/>
                              </w:rPr>
                              <w:t>Sodium hydroxide</w:t>
                            </w:r>
                            <w:r w:rsidRPr="00781B86">
                              <w:rPr>
                                <w:rFonts w:ascii="Times New Roman" w:hAnsi="Times New Roman" w:cs="Times New Roman"/>
                                <w:sz w:val="20"/>
                                <w:szCs w:val="20"/>
                              </w:rPr>
                              <w:t>, NaOH, 1</w:t>
                            </w:r>
                            <w:r w:rsidRPr="00781B86">
                              <w:rPr>
                                <w:rFonts w:ascii="Times New Roman" w:hAnsi="Times New Roman" w:cs="Times New Roman"/>
                                <w:i/>
                                <w:sz w:val="20"/>
                                <w:szCs w:val="20"/>
                              </w:rPr>
                              <w:t>N</w:t>
                            </w:r>
                            <w:r w:rsidRPr="00781B86">
                              <w:rPr>
                                <w:rFonts w:ascii="Times New Roman" w:hAnsi="Times New Roman" w:cs="Times New Roman"/>
                                <w:sz w:val="20"/>
                                <w:szCs w:val="20"/>
                              </w:rPr>
                              <w:t>.</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i/>
                                <w:sz w:val="20"/>
                                <w:szCs w:val="20"/>
                              </w:rPr>
                              <w:t>c. Procedure:</w:t>
                            </w:r>
                            <w:r w:rsidRPr="00781B86">
                              <w:rPr>
                                <w:rFonts w:ascii="Times New Roman" w:hAnsi="Times New Roman" w:cs="Times New Roman"/>
                                <w:sz w:val="20"/>
                                <w:szCs w:val="20"/>
                              </w:rPr>
                              <w:t xml:space="preserve"> Use 50 mL or a suitable portion of thoroughly mixed sample. Add 0.05 mL (1 drop) phenolphthalein indicator solution. If a red color develops, add H</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SO</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 xml:space="preserve"> solution dropwise to just discharge the color. Then add 1 mL H</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SO</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 xml:space="preserve"> and either 0.4 g solid (NH</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O</w:t>
                            </w:r>
                            <w:r w:rsidRPr="00781B86">
                              <w:rPr>
                                <w:rFonts w:ascii="Times New Roman" w:hAnsi="Times New Roman" w:cs="Times New Roman"/>
                                <w:sz w:val="20"/>
                                <w:szCs w:val="20"/>
                                <w:vertAlign w:val="subscript"/>
                              </w:rPr>
                              <w:t>8</w:t>
                            </w:r>
                            <w:r w:rsidRPr="00781B86">
                              <w:rPr>
                                <w:rFonts w:ascii="Times New Roman" w:hAnsi="Times New Roman" w:cs="Times New Roman"/>
                                <w:sz w:val="20"/>
                                <w:szCs w:val="20"/>
                              </w:rPr>
                              <w:t xml:space="preserve"> or 0.5 g solid K</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O</w:t>
                            </w:r>
                            <w:r w:rsidRPr="00781B86">
                              <w:rPr>
                                <w:rFonts w:ascii="Times New Roman" w:hAnsi="Times New Roman" w:cs="Times New Roman"/>
                                <w:sz w:val="20"/>
                                <w:szCs w:val="20"/>
                                <w:vertAlign w:val="subscript"/>
                              </w:rPr>
                              <w:t>8</w:t>
                            </w:r>
                            <w:r w:rsidRPr="00781B86">
                              <w:rPr>
                                <w:rFonts w:ascii="Times New Roman" w:hAnsi="Times New Roman" w:cs="Times New Roman"/>
                                <w:sz w:val="20"/>
                                <w:szCs w:val="20"/>
                              </w:rPr>
                              <w:t>.</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Boil gently on a preheated hot plate for 30 to 40 min or until a final volume of 10 mL is reached. Organophosphorus compounds such as AMP may require as much as 1.5 to 2 h for complete digestion. Cool, dilute to 30 mL with distilled water, add 0.05 mL (1 drop) phenolphthalein indicator solution, and neutralize to a faint pink color with NaOH. Alternately, heat for 30 min in an autoclave or pressure cooker at 98 to 137 kPa. Cool, add 0.05 mL (1 drop) phenolphthalein indicator solution, and neutralize to a faint pink color with NaOH. Make up to 100 mL with distilled water. In some samples, a precipitate may form at this stage, but do not filter. For any subsequent dividing of the sample, shake well. The precipitate (which is possibly a calcium phosphate) redissolves under the acid conditions of the colorimetric reactive phosphorus test. Determine phosphorus by method C, D, or E, for which a separate calibration curve has been constructed by carrying standards though the persulfate digestion procedure.</w:t>
                            </w:r>
                          </w:p>
                          <w:p w:rsidR="00076972" w:rsidRPr="00781B86" w:rsidRDefault="00076972" w:rsidP="00781B86">
                            <w:pPr>
                              <w:spacing w:after="0"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58.4pt;width:464.9pt;height:2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" strokecolor="black [3213]">
                <v:shadow on="t" color="black" opacity="26214f" origin="-.5,-.5" offset=".74836mm,.74836mm"/>
                <v:textbox>
                  <w:txbxContent>
                    <w:p w:rsidR="00076972" w:rsidRPr="00781B86" w:rsidRDefault="00076972" w:rsidP="00781B86">
                      <w:pPr>
                        <w:spacing w:after="0" w:line="240" w:lineRule="auto"/>
                        <w:rPr>
                          <w:rFonts w:ascii="Arial" w:hAnsi="Arial" w:cs="Arial"/>
                          <w:sz w:val="20"/>
                          <w:szCs w:val="20"/>
                        </w:rPr>
                      </w:pPr>
                      <w:r w:rsidRPr="00781B86">
                        <w:rPr>
                          <w:rFonts w:ascii="Arial" w:hAnsi="Arial" w:cs="Arial"/>
                          <w:sz w:val="20"/>
                          <w:szCs w:val="20"/>
                        </w:rPr>
                        <w:t>5.  Persulfate Digestion Method</w:t>
                      </w:r>
                    </w:p>
                    <w:p w:rsidR="00076972" w:rsidRPr="00781B86" w:rsidRDefault="00076972" w:rsidP="00781B86">
                      <w:pPr>
                        <w:spacing w:after="0" w:line="240" w:lineRule="auto"/>
                        <w:ind w:firstLine="180"/>
                        <w:rPr>
                          <w:rFonts w:ascii="Times New Roman" w:hAnsi="Times New Roman" w:cs="Times New Roman"/>
                          <w:i/>
                          <w:sz w:val="20"/>
                          <w:szCs w:val="20"/>
                        </w:rPr>
                      </w:pPr>
                      <w:r w:rsidRPr="00781B86">
                        <w:rPr>
                          <w:rFonts w:ascii="Times New Roman" w:hAnsi="Times New Roman" w:cs="Times New Roman"/>
                          <w:i/>
                          <w:sz w:val="20"/>
                          <w:szCs w:val="20"/>
                        </w:rPr>
                        <w:t>a.  Apparatus:</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1)  </w:t>
                      </w:r>
                      <w:r w:rsidRPr="00781B86">
                        <w:rPr>
                          <w:rFonts w:ascii="Times New Roman" w:hAnsi="Times New Roman" w:cs="Times New Roman"/>
                          <w:i/>
                          <w:sz w:val="20"/>
                          <w:szCs w:val="20"/>
                        </w:rPr>
                        <w:t>Hot plate:</w:t>
                      </w:r>
                      <w:r w:rsidRPr="00781B86">
                        <w:rPr>
                          <w:rFonts w:ascii="Times New Roman" w:hAnsi="Times New Roman" w:cs="Times New Roman"/>
                          <w:sz w:val="20"/>
                          <w:szCs w:val="20"/>
                        </w:rPr>
                        <w:t xml:space="preserve">  A 30- </w:t>
                      </w:r>
                      <w:r w:rsidRPr="00781B86">
                        <w:rPr>
                          <w:rFonts w:ascii="Times New Roman" w:hAnsi="Times New Roman" w:cs="Times New Roman"/>
                          <w:sz w:val="20"/>
                          <w:szCs w:val="20"/>
                        </w:rPr>
                        <w:sym w:font="Symbol" w:char="F0B4"/>
                      </w:r>
                      <w:r w:rsidRPr="00781B86">
                        <w:rPr>
                          <w:rFonts w:ascii="Times New Roman" w:hAnsi="Times New Roman" w:cs="Times New Roman"/>
                          <w:sz w:val="20"/>
                          <w:szCs w:val="20"/>
                        </w:rPr>
                        <w:t xml:space="preserve"> 50-cm heating surface is adequate.</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2)  </w:t>
                      </w:r>
                      <w:r w:rsidRPr="00781B86">
                        <w:rPr>
                          <w:rFonts w:ascii="Times New Roman" w:hAnsi="Times New Roman" w:cs="Times New Roman"/>
                          <w:i/>
                          <w:sz w:val="20"/>
                          <w:szCs w:val="20"/>
                        </w:rPr>
                        <w:t>Autoclave:</w:t>
                      </w:r>
                      <w:r w:rsidRPr="00781B86">
                        <w:rPr>
                          <w:rFonts w:ascii="Times New Roman" w:hAnsi="Times New Roman" w:cs="Times New Roman"/>
                          <w:sz w:val="20"/>
                          <w:szCs w:val="20"/>
                        </w:rPr>
                        <w:t xml:space="preserve">  An autoclave or pressure cooker capable of developing 98 to 137 kPa may be used instead of a hot plate.</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3)  </w:t>
                      </w:r>
                      <w:r w:rsidRPr="00781B86">
                        <w:rPr>
                          <w:rFonts w:ascii="Times New Roman" w:hAnsi="Times New Roman" w:cs="Times New Roman"/>
                          <w:i/>
                          <w:sz w:val="20"/>
                          <w:szCs w:val="20"/>
                        </w:rPr>
                        <w:t>Glass scoop,</w:t>
                      </w:r>
                      <w:r w:rsidRPr="00781B86">
                        <w:rPr>
                          <w:rFonts w:ascii="Times New Roman" w:hAnsi="Times New Roman" w:cs="Times New Roman"/>
                          <w:sz w:val="20"/>
                          <w:szCs w:val="20"/>
                        </w:rPr>
                        <w:t xml:space="preserve"> to hold required amounts of persulfate crystals.</w:t>
                      </w:r>
                    </w:p>
                    <w:p w:rsidR="00076972" w:rsidRPr="00781B86" w:rsidRDefault="00076972" w:rsidP="00781B86">
                      <w:pPr>
                        <w:spacing w:after="0" w:line="240" w:lineRule="auto"/>
                        <w:ind w:firstLine="180"/>
                        <w:rPr>
                          <w:rFonts w:ascii="Times New Roman" w:hAnsi="Times New Roman" w:cs="Times New Roman"/>
                          <w:i/>
                          <w:sz w:val="20"/>
                          <w:szCs w:val="20"/>
                        </w:rPr>
                      </w:pPr>
                      <w:r w:rsidRPr="00781B86">
                        <w:rPr>
                          <w:rFonts w:ascii="Times New Roman" w:hAnsi="Times New Roman" w:cs="Times New Roman"/>
                          <w:i/>
                          <w:sz w:val="20"/>
                          <w:szCs w:val="20"/>
                        </w:rPr>
                        <w:t>b.  Reagents:</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1)  </w:t>
                      </w:r>
                      <w:r w:rsidRPr="00781B86">
                        <w:rPr>
                          <w:rFonts w:ascii="Times New Roman" w:hAnsi="Times New Roman" w:cs="Times New Roman"/>
                          <w:i/>
                          <w:sz w:val="20"/>
                          <w:szCs w:val="20"/>
                        </w:rPr>
                        <w:t>Phenolphthalein indicator aqueous solution.</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2)  </w:t>
                      </w:r>
                      <w:r w:rsidRPr="00781B86">
                        <w:rPr>
                          <w:rFonts w:ascii="Times New Roman" w:hAnsi="Times New Roman" w:cs="Times New Roman"/>
                          <w:i/>
                          <w:sz w:val="20"/>
                          <w:szCs w:val="20"/>
                        </w:rPr>
                        <w:t>Sulfuric acid solution:</w:t>
                      </w:r>
                      <w:r w:rsidRPr="00781B86">
                        <w:rPr>
                          <w:rFonts w:ascii="Times New Roman" w:hAnsi="Times New Roman" w:cs="Times New Roman"/>
                          <w:sz w:val="20"/>
                          <w:szCs w:val="20"/>
                        </w:rPr>
                        <w:t xml:space="preserve"> Carefully add 300 mL conc H</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SO</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 xml:space="preserve"> to approximately 600 mL distilled water and dilute to 1 L with distilled water.</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3)  </w:t>
                      </w:r>
                      <w:r w:rsidRPr="00781B86">
                        <w:rPr>
                          <w:rFonts w:ascii="Times New Roman" w:hAnsi="Times New Roman" w:cs="Times New Roman"/>
                          <w:i/>
                          <w:sz w:val="20"/>
                          <w:szCs w:val="20"/>
                        </w:rPr>
                        <w:t>Ammonium persulfate,</w:t>
                      </w:r>
                      <w:r w:rsidRPr="00781B86">
                        <w:rPr>
                          <w:rFonts w:ascii="Times New Roman" w:hAnsi="Times New Roman" w:cs="Times New Roman"/>
                          <w:sz w:val="20"/>
                          <w:szCs w:val="20"/>
                        </w:rPr>
                        <w:t xml:space="preserve"> (NH</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O</w:t>
                      </w:r>
                      <w:r w:rsidRPr="00781B86">
                        <w:rPr>
                          <w:rFonts w:ascii="Times New Roman" w:hAnsi="Times New Roman" w:cs="Times New Roman"/>
                          <w:sz w:val="20"/>
                          <w:szCs w:val="20"/>
                          <w:vertAlign w:val="subscript"/>
                        </w:rPr>
                        <w:t>8</w:t>
                      </w:r>
                      <w:r w:rsidRPr="00781B86">
                        <w:rPr>
                          <w:rFonts w:ascii="Times New Roman" w:hAnsi="Times New Roman" w:cs="Times New Roman"/>
                          <w:sz w:val="20"/>
                          <w:szCs w:val="20"/>
                        </w:rPr>
                        <w:t>, solid, or potassium persulfate, K</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O</w:t>
                      </w:r>
                      <w:r w:rsidRPr="00781B86">
                        <w:rPr>
                          <w:rFonts w:ascii="Times New Roman" w:hAnsi="Times New Roman" w:cs="Times New Roman"/>
                          <w:sz w:val="20"/>
                          <w:szCs w:val="20"/>
                          <w:vertAlign w:val="subscript"/>
                        </w:rPr>
                        <w:t>8</w:t>
                      </w:r>
                      <w:r w:rsidRPr="00781B86">
                        <w:rPr>
                          <w:rFonts w:ascii="Times New Roman" w:hAnsi="Times New Roman" w:cs="Times New Roman"/>
                          <w:sz w:val="20"/>
                          <w:szCs w:val="20"/>
                        </w:rPr>
                        <w:t>, solid.</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 xml:space="preserve">4)  </w:t>
                      </w:r>
                      <w:r w:rsidRPr="00781B86">
                        <w:rPr>
                          <w:rFonts w:ascii="Times New Roman" w:hAnsi="Times New Roman" w:cs="Times New Roman"/>
                          <w:i/>
                          <w:sz w:val="20"/>
                          <w:szCs w:val="20"/>
                        </w:rPr>
                        <w:t>Sodium hydroxide</w:t>
                      </w:r>
                      <w:r w:rsidRPr="00781B86">
                        <w:rPr>
                          <w:rFonts w:ascii="Times New Roman" w:hAnsi="Times New Roman" w:cs="Times New Roman"/>
                          <w:sz w:val="20"/>
                          <w:szCs w:val="20"/>
                        </w:rPr>
                        <w:t>, NaOH, 1</w:t>
                      </w:r>
                      <w:r w:rsidRPr="00781B86">
                        <w:rPr>
                          <w:rFonts w:ascii="Times New Roman" w:hAnsi="Times New Roman" w:cs="Times New Roman"/>
                          <w:i/>
                          <w:sz w:val="20"/>
                          <w:szCs w:val="20"/>
                        </w:rPr>
                        <w:t>N</w:t>
                      </w:r>
                      <w:r w:rsidRPr="00781B86">
                        <w:rPr>
                          <w:rFonts w:ascii="Times New Roman" w:hAnsi="Times New Roman" w:cs="Times New Roman"/>
                          <w:sz w:val="20"/>
                          <w:szCs w:val="20"/>
                        </w:rPr>
                        <w:t>.</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i/>
                          <w:sz w:val="20"/>
                          <w:szCs w:val="20"/>
                        </w:rPr>
                        <w:t>c. Procedure:</w:t>
                      </w:r>
                      <w:r w:rsidRPr="00781B86">
                        <w:rPr>
                          <w:rFonts w:ascii="Times New Roman" w:hAnsi="Times New Roman" w:cs="Times New Roman"/>
                          <w:sz w:val="20"/>
                          <w:szCs w:val="20"/>
                        </w:rPr>
                        <w:t xml:space="preserve"> Use 50 mL or a suitable portion of thoroughly mixed sample. Add 0.05 mL (1 drop) phenolphthalein indicator solution. If a red color develops, add H</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SO</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 xml:space="preserve"> solution dropwise to just discharge the color. Then add 1 mL H</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SO</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 xml:space="preserve"> and either 0.4 g solid (NH</w:t>
                      </w:r>
                      <w:r w:rsidRPr="00781B86">
                        <w:rPr>
                          <w:rFonts w:ascii="Times New Roman" w:hAnsi="Times New Roman" w:cs="Times New Roman"/>
                          <w:sz w:val="20"/>
                          <w:szCs w:val="20"/>
                          <w:vertAlign w:val="subscript"/>
                        </w:rPr>
                        <w:t>4</w:t>
                      </w:r>
                      <w:r w:rsidRPr="00781B86">
                        <w:rPr>
                          <w:rFonts w:ascii="Times New Roman" w:hAnsi="Times New Roman" w:cs="Times New Roman"/>
                          <w:sz w:val="20"/>
                          <w:szCs w:val="20"/>
                        </w:rPr>
                        <w:t>)</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O</w:t>
                      </w:r>
                      <w:r w:rsidRPr="00781B86">
                        <w:rPr>
                          <w:rFonts w:ascii="Times New Roman" w:hAnsi="Times New Roman" w:cs="Times New Roman"/>
                          <w:sz w:val="20"/>
                          <w:szCs w:val="20"/>
                          <w:vertAlign w:val="subscript"/>
                        </w:rPr>
                        <w:t>8</w:t>
                      </w:r>
                      <w:r w:rsidRPr="00781B86">
                        <w:rPr>
                          <w:rFonts w:ascii="Times New Roman" w:hAnsi="Times New Roman" w:cs="Times New Roman"/>
                          <w:sz w:val="20"/>
                          <w:szCs w:val="20"/>
                        </w:rPr>
                        <w:t xml:space="preserve"> or 0.5 g solid K</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S</w:t>
                      </w:r>
                      <w:r w:rsidRPr="00781B86">
                        <w:rPr>
                          <w:rFonts w:ascii="Times New Roman" w:hAnsi="Times New Roman" w:cs="Times New Roman"/>
                          <w:sz w:val="20"/>
                          <w:szCs w:val="20"/>
                          <w:vertAlign w:val="subscript"/>
                        </w:rPr>
                        <w:t>2</w:t>
                      </w:r>
                      <w:r w:rsidRPr="00781B86">
                        <w:rPr>
                          <w:rFonts w:ascii="Times New Roman" w:hAnsi="Times New Roman" w:cs="Times New Roman"/>
                          <w:sz w:val="20"/>
                          <w:szCs w:val="20"/>
                        </w:rPr>
                        <w:t>O</w:t>
                      </w:r>
                      <w:r w:rsidRPr="00781B86">
                        <w:rPr>
                          <w:rFonts w:ascii="Times New Roman" w:hAnsi="Times New Roman" w:cs="Times New Roman"/>
                          <w:sz w:val="20"/>
                          <w:szCs w:val="20"/>
                          <w:vertAlign w:val="subscript"/>
                        </w:rPr>
                        <w:t>8</w:t>
                      </w:r>
                      <w:r w:rsidRPr="00781B86">
                        <w:rPr>
                          <w:rFonts w:ascii="Times New Roman" w:hAnsi="Times New Roman" w:cs="Times New Roman"/>
                          <w:sz w:val="20"/>
                          <w:szCs w:val="20"/>
                        </w:rPr>
                        <w:t>.</w:t>
                      </w:r>
                    </w:p>
                    <w:p w:rsidR="00076972" w:rsidRPr="00781B86" w:rsidRDefault="00076972" w:rsidP="00781B86">
                      <w:pPr>
                        <w:spacing w:after="0" w:line="240" w:lineRule="auto"/>
                        <w:ind w:firstLine="180"/>
                        <w:rPr>
                          <w:rFonts w:ascii="Times New Roman" w:hAnsi="Times New Roman" w:cs="Times New Roman"/>
                          <w:sz w:val="20"/>
                          <w:szCs w:val="20"/>
                        </w:rPr>
                      </w:pPr>
                      <w:r w:rsidRPr="00781B86">
                        <w:rPr>
                          <w:rFonts w:ascii="Times New Roman" w:hAnsi="Times New Roman" w:cs="Times New Roman"/>
                          <w:sz w:val="20"/>
                          <w:szCs w:val="20"/>
                        </w:rPr>
                        <w:t>Boil gently on a preheated hot plate for 30 to 40 min or until a final volume of 10 mL is reached. Organophosphorus compounds such as AMP may require as much as 1.5 to 2 h for complete digestion. Cool, dilute to 30 mL with distilled water, add 0.05 mL (1 drop) phenolphthalein indicator solution, and neutralize to a faint pink color with NaOH. Alternately, heat for 30 min in an autoclave or pressure cooker at 98 to 137 kPa. Cool, add 0.05 mL (1 drop) phenolphthalein indicator solution, and neutralize to a faint pink color with NaOH. Make up to 100 mL with distilled water. In some samples, a precipitate may form at this stage, but do not filter. For any subsequent dividing of the sample, shake well. The precipitate (which is possibly a calcium phosphate) redissolves under the acid conditions of the colorimetric reactive phosphorus test. Determine phosphorus by method C, D, or E, for which a separate calibration curve has been constructed by carrying standards though the persulfate digestion procedure.</w:t>
                      </w:r>
                    </w:p>
                    <w:p w:rsidR="00076972" w:rsidRPr="00781B86" w:rsidRDefault="00076972" w:rsidP="00781B86">
                      <w:pPr>
                        <w:spacing w:after="0" w:line="240" w:lineRule="auto"/>
                        <w:rPr>
                          <w:rFonts w:ascii="Times New Roman" w:hAnsi="Times New Roman" w:cs="Times New Roman"/>
                          <w:sz w:val="20"/>
                          <w:szCs w:val="20"/>
                        </w:rPr>
                      </w:pPr>
                    </w:p>
                  </w:txbxContent>
                </v:textbox>
                <w10:wrap type="square"/>
              </v:shape>
            </w:pict>
          </mc:Fallback>
        </mc:AlternateContent>
      </w:r>
      <w:r w:rsidRPr="00B178F2">
        <w:rPr>
          <w:rFonts w:cs="Times New Roman"/>
        </w:rPr>
        <w:t xml:space="preserve">Phosphorus in lake water occurs in many forms. The ascorbic acid method only measures orthophosphate. Phosphorus in the lake samples is converted to orthophosphate using the Persulfate Digestion Method from </w:t>
      </w:r>
      <w:r w:rsidRPr="00B178F2">
        <w:rPr>
          <w:rFonts w:cs="Times New Roman"/>
          <w:color w:val="211D1E"/>
        </w:rPr>
        <w:t>Standards Methods for the Examination of Water and Wastewater (4500-P.B.5.).</w:t>
      </w:r>
    </w:p>
    <w:p w:rsidR="00076972" w:rsidRPr="00B178F2" w:rsidRDefault="00076972" w:rsidP="00076972">
      <w:pPr>
        <w:pStyle w:val="ListParagraph"/>
        <w:numPr>
          <w:ilvl w:val="0"/>
          <w:numId w:val="11"/>
        </w:numPr>
        <w:tabs>
          <w:tab w:val="left" w:pos="0"/>
        </w:tabs>
        <w:spacing w:after="0" w:line="240" w:lineRule="auto"/>
        <w:ind w:left="360"/>
        <w:jc w:val="both"/>
        <w:rPr>
          <w:rFonts w:cs="Times New Roman"/>
          <w:color w:val="211D1E"/>
        </w:rPr>
      </w:pPr>
      <w:r w:rsidRPr="00B178F2">
        <w:rPr>
          <w:rFonts w:cs="Times New Roman"/>
          <w:color w:val="211D1E"/>
        </w:rPr>
        <w:t>All reagents in the Persulfate Digestion Method will be prepared for you.</w:t>
      </w:r>
    </w:p>
    <w:p w:rsidR="00076972" w:rsidRPr="00B178F2" w:rsidRDefault="00076972" w:rsidP="00076972">
      <w:pPr>
        <w:pStyle w:val="ListParagraph"/>
        <w:numPr>
          <w:ilvl w:val="0"/>
          <w:numId w:val="10"/>
        </w:numPr>
        <w:tabs>
          <w:tab w:val="left" w:pos="0"/>
        </w:tabs>
        <w:spacing w:after="0" w:line="240" w:lineRule="auto"/>
        <w:ind w:left="360"/>
        <w:jc w:val="both"/>
        <w:rPr>
          <w:rFonts w:cs="Times New Roman"/>
          <w:color w:val="211D1E"/>
        </w:rPr>
      </w:pPr>
      <w:r w:rsidRPr="00B178F2">
        <w:rPr>
          <w:rFonts w:cs="Times New Roman"/>
          <w:color w:val="211D1E"/>
        </w:rPr>
        <w:t xml:space="preserve">Digest your samples using a hot plate. While digesting, the samples should boil </w:t>
      </w:r>
      <w:r w:rsidRPr="00B178F2">
        <w:rPr>
          <w:rFonts w:cs="Times New Roman"/>
          <w:i/>
          <w:color w:val="211D1E"/>
        </w:rPr>
        <w:t>GENTLY</w:t>
      </w:r>
      <w:r w:rsidRPr="00B178F2">
        <w:rPr>
          <w:rFonts w:cs="Times New Roman"/>
          <w:color w:val="211D1E"/>
        </w:rPr>
        <w:t xml:space="preserve">.  Monitor samples during the digestion and add distilled water as necessary to keep the solution volumes approximately the same. This practice avoids over-drying and creating noxious fumes. </w:t>
      </w:r>
    </w:p>
    <w:p w:rsidR="00076972" w:rsidRPr="00B178F2" w:rsidRDefault="00076972" w:rsidP="00076972">
      <w:pPr>
        <w:pStyle w:val="ListParagraph"/>
        <w:numPr>
          <w:ilvl w:val="0"/>
          <w:numId w:val="10"/>
        </w:numPr>
        <w:tabs>
          <w:tab w:val="left" w:pos="0"/>
        </w:tabs>
        <w:spacing w:after="0" w:line="240" w:lineRule="auto"/>
        <w:ind w:left="360"/>
        <w:jc w:val="both"/>
        <w:rPr>
          <w:rFonts w:cs="Times New Roman"/>
        </w:rPr>
      </w:pPr>
      <w:r w:rsidRPr="00B178F2">
        <w:rPr>
          <w:rFonts w:cs="Times New Roman"/>
        </w:rPr>
        <w:t>After digestion, bring the volume of the samples back up to 50 mL to match the volume of the original sample.</w:t>
      </w:r>
    </w:p>
    <w:p w:rsidR="00076972" w:rsidRPr="00B178F2" w:rsidRDefault="00076972" w:rsidP="00076972">
      <w:pPr>
        <w:pStyle w:val="ListParagraph"/>
        <w:numPr>
          <w:ilvl w:val="0"/>
          <w:numId w:val="10"/>
        </w:numPr>
        <w:tabs>
          <w:tab w:val="left" w:pos="0"/>
        </w:tabs>
        <w:spacing w:after="0" w:line="240" w:lineRule="auto"/>
        <w:ind w:left="360"/>
        <w:jc w:val="both"/>
        <w:rPr>
          <w:rFonts w:cs="Times New Roman"/>
          <w:color w:val="211D1E"/>
        </w:rPr>
      </w:pPr>
      <w:r w:rsidRPr="00B178F2">
        <w:rPr>
          <w:rFonts w:cs="Times New Roman"/>
          <w:color w:val="211D1E"/>
        </w:rPr>
        <w:t>Thirty minutes of digestion is sufficient for the lake water samples.</w:t>
      </w:r>
    </w:p>
    <w:p w:rsidR="00076972" w:rsidRPr="00B178F2" w:rsidRDefault="00076972" w:rsidP="007C3452">
      <w:pPr>
        <w:spacing w:after="0" w:line="240" w:lineRule="auto"/>
        <w:contextualSpacing/>
        <w:jc w:val="both"/>
        <w:rPr>
          <w:rFonts w:cs="Times New Roman"/>
        </w:rPr>
      </w:pPr>
    </w:p>
    <w:p w:rsidR="00076972" w:rsidRPr="00B178F2" w:rsidRDefault="00076972" w:rsidP="007C3452">
      <w:pPr>
        <w:spacing w:after="0" w:line="240" w:lineRule="auto"/>
        <w:contextualSpacing/>
        <w:jc w:val="both"/>
        <w:rPr>
          <w:rFonts w:cs="Times New Roman"/>
        </w:rPr>
      </w:pPr>
      <w:r w:rsidRPr="00B178F2">
        <w:rPr>
          <w:rFonts w:cs="Times New Roman"/>
          <w:u w:val="single"/>
        </w:rPr>
        <w:t>Analyze Standards and Samples for Phosphorus</w:t>
      </w:r>
      <w:r w:rsidRPr="00B178F2">
        <w:rPr>
          <w:rFonts w:cs="Times New Roman"/>
        </w:rPr>
        <w:t xml:space="preserve"> </w:t>
      </w:r>
    </w:p>
    <w:p w:rsidR="00076972" w:rsidRPr="00B178F2" w:rsidRDefault="00076972" w:rsidP="007C3452">
      <w:pPr>
        <w:spacing w:after="0" w:line="240" w:lineRule="auto"/>
        <w:contextualSpacing/>
        <w:jc w:val="both"/>
        <w:rPr>
          <w:rFonts w:cs="Times New Roman"/>
          <w:u w:val="single"/>
        </w:rPr>
      </w:pPr>
      <w:r w:rsidRPr="00B178F2">
        <w:rPr>
          <w:rFonts w:cs="Times New Roman"/>
        </w:rPr>
        <w:t xml:space="preserve">Combine each 50 mL of each sample with 8 mL of the combined reagent and mix thoroughly. After at least 10 minutes and no more than 30 minutes, measure the absorbance of each solution at 880 nm.  </w:t>
      </w:r>
    </w:p>
    <w:p w:rsidR="00076972" w:rsidRPr="00B178F2" w:rsidRDefault="00076972" w:rsidP="007C3452">
      <w:pPr>
        <w:spacing w:after="0" w:line="240" w:lineRule="auto"/>
        <w:contextualSpacing/>
        <w:jc w:val="both"/>
        <w:rPr>
          <w:rFonts w:cs="Times New Roman"/>
          <w:b/>
        </w:rPr>
      </w:pPr>
    </w:p>
    <w:p w:rsidR="00076972" w:rsidRPr="00B178F2" w:rsidRDefault="00076972" w:rsidP="007C3452">
      <w:pPr>
        <w:spacing w:line="240" w:lineRule="auto"/>
        <w:contextualSpacing/>
        <w:rPr>
          <w:rFonts w:cs="Times New Roman"/>
          <w:b/>
          <w:caps/>
        </w:rPr>
      </w:pPr>
      <w:r w:rsidRPr="00B178F2">
        <w:rPr>
          <w:rFonts w:cs="Times New Roman"/>
          <w:b/>
          <w:caps/>
        </w:rPr>
        <w:br w:type="page"/>
      </w:r>
    </w:p>
    <w:p w:rsidR="00076972" w:rsidRPr="00B178F2" w:rsidRDefault="00076972" w:rsidP="007C3452">
      <w:pPr>
        <w:spacing w:after="120" w:line="240" w:lineRule="auto"/>
        <w:contextualSpacing/>
        <w:jc w:val="both"/>
        <w:rPr>
          <w:rFonts w:cs="Times New Roman"/>
          <w:b/>
          <w:caps/>
        </w:rPr>
      </w:pPr>
      <w:r w:rsidRPr="00B178F2">
        <w:rPr>
          <w:rFonts w:cs="Times New Roman"/>
          <w:b/>
          <w:caps/>
        </w:rPr>
        <w:lastRenderedPageBreak/>
        <w:t>Calculations and Results</w:t>
      </w:r>
    </w:p>
    <w:p w:rsidR="00076972" w:rsidRPr="00B178F2" w:rsidRDefault="00076972" w:rsidP="00076972">
      <w:pPr>
        <w:pStyle w:val="ListParagraph"/>
        <w:numPr>
          <w:ilvl w:val="0"/>
          <w:numId w:val="1"/>
        </w:numPr>
        <w:spacing w:after="0" w:line="240" w:lineRule="auto"/>
        <w:ind w:left="270" w:hanging="374"/>
        <w:jc w:val="both"/>
        <w:rPr>
          <w:rFonts w:cs="Times New Roman"/>
        </w:rPr>
      </w:pPr>
      <w:r w:rsidRPr="00B178F2">
        <w:rPr>
          <w:rFonts w:cs="Times New Roman"/>
        </w:rPr>
        <w:t>Using EXCEL, prepare a calibration curve using the absorbance values of the calibration standards ranging from the estimated MDL to 0.4 mg P/L. Turn in a copy of your calibration curve along with your notebook and answer sheet.</w:t>
      </w:r>
    </w:p>
    <w:p w:rsidR="00076972" w:rsidRPr="00B178F2" w:rsidRDefault="00076972" w:rsidP="00076972">
      <w:pPr>
        <w:pStyle w:val="ListParagraph"/>
        <w:numPr>
          <w:ilvl w:val="0"/>
          <w:numId w:val="1"/>
        </w:numPr>
        <w:spacing w:after="0" w:line="240" w:lineRule="auto"/>
        <w:ind w:left="270" w:hanging="374"/>
        <w:jc w:val="both"/>
        <w:rPr>
          <w:rFonts w:cs="Times New Roman"/>
        </w:rPr>
      </w:pPr>
      <w:r w:rsidRPr="00B178F2">
        <w:rPr>
          <w:rFonts w:cs="Times New Roman"/>
        </w:rPr>
        <w:t>Calculate the MDL Standard Phosphorus Solution concentrations using the calibration curve and determine the method detection limit.</w:t>
      </w:r>
    </w:p>
    <w:p w:rsidR="00076972" w:rsidRDefault="00076972" w:rsidP="007C3452">
      <w:pPr>
        <w:pStyle w:val="ListParagraph"/>
        <w:numPr>
          <w:ilvl w:val="0"/>
          <w:numId w:val="1"/>
        </w:numPr>
        <w:spacing w:after="0" w:line="240" w:lineRule="auto"/>
        <w:ind w:left="270" w:hanging="374"/>
        <w:jc w:val="both"/>
        <w:rPr>
          <w:rFonts w:cs="Times New Roman"/>
          <w:b/>
          <w:bCs/>
          <w:color w:val="000000"/>
        </w:rPr>
      </w:pPr>
      <w:r w:rsidRPr="00B178F2">
        <w:rPr>
          <w:rFonts w:cs="Times New Roman"/>
        </w:rPr>
        <w:t>Use the calibration curve to determine the concentration of phosphorus in the spiked and unspiked lake water samples and calculate the percent recovery of the spike.</w:t>
      </w:r>
      <w:r w:rsidRPr="00B178F2">
        <w:rPr>
          <w:rFonts w:cs="Times New Roman"/>
          <w:b/>
          <w:bCs/>
          <w:color w:val="000000"/>
        </w:rPr>
        <w:t xml:space="preserve"> </w:t>
      </w:r>
    </w:p>
    <w:p w:rsidR="00173130" w:rsidRDefault="00173130" w:rsidP="00173130">
      <w:pPr>
        <w:spacing w:after="0" w:line="240" w:lineRule="auto"/>
        <w:jc w:val="both"/>
        <w:rPr>
          <w:rFonts w:cs="Times New Roman"/>
          <w:b/>
          <w:bCs/>
          <w:color w:val="000000"/>
        </w:rPr>
      </w:pPr>
    </w:p>
    <w:p w:rsidR="00173130" w:rsidRPr="00674FB4" w:rsidRDefault="00173130" w:rsidP="00674FB4">
      <w:pPr>
        <w:rPr>
          <w:rFonts w:cs="Times New Roman"/>
          <w:b/>
          <w:bCs/>
          <w:color w:val="000000"/>
        </w:rPr>
      </w:pPr>
      <w:r>
        <w:rPr>
          <w:rFonts w:cs="Times New Roman"/>
          <w:b/>
          <w:bCs/>
          <w:color w:val="000000"/>
        </w:rPr>
        <w:br w:type="page"/>
      </w:r>
      <w:r w:rsidRPr="00FF74FB">
        <w:rPr>
          <w:b/>
          <w:sz w:val="24"/>
          <w:szCs w:val="24"/>
        </w:rPr>
        <w:lastRenderedPageBreak/>
        <w:t>SPIKE RECOVERY AND MDL PRACTICE</w:t>
      </w:r>
    </w:p>
    <w:p w:rsidR="00173130" w:rsidRPr="00FF74FB" w:rsidRDefault="00173130" w:rsidP="00173130">
      <w:pPr>
        <w:pStyle w:val="Pa1"/>
        <w:spacing w:line="240" w:lineRule="auto"/>
        <w:rPr>
          <w:rFonts w:asciiTheme="minorHAnsi" w:hAnsiTheme="minorHAnsi" w:cs="Geneva"/>
          <w:color w:val="211D1E"/>
        </w:rPr>
      </w:pPr>
      <w:r w:rsidRPr="00FF74FB">
        <w:rPr>
          <w:rFonts w:asciiTheme="minorHAnsi" w:hAnsiTheme="minorHAnsi" w:cs="Geneva"/>
          <w:color w:val="211D1E"/>
        </w:rPr>
        <w:t>Name___________________________________ Course____</w:t>
      </w:r>
      <w:r>
        <w:rPr>
          <w:rFonts w:asciiTheme="minorHAnsi" w:hAnsiTheme="minorHAnsi" w:cs="Geneva"/>
          <w:color w:val="211D1E"/>
        </w:rPr>
        <w:t>__Section__</w:t>
      </w:r>
      <w:r w:rsidRPr="00FF74FB">
        <w:rPr>
          <w:rFonts w:asciiTheme="minorHAnsi" w:hAnsiTheme="minorHAnsi" w:cs="Geneva"/>
          <w:color w:val="211D1E"/>
        </w:rPr>
        <w:t>_</w:t>
      </w:r>
      <w:r>
        <w:rPr>
          <w:rFonts w:asciiTheme="minorHAnsi" w:hAnsiTheme="minorHAnsi" w:cs="Geneva"/>
          <w:color w:val="211D1E"/>
        </w:rPr>
        <w:t>___Date__</w:t>
      </w:r>
      <w:r w:rsidRPr="00FF74FB">
        <w:rPr>
          <w:rFonts w:asciiTheme="minorHAnsi" w:hAnsiTheme="minorHAnsi" w:cs="Geneva"/>
          <w:color w:val="211D1E"/>
        </w:rPr>
        <w:t>__</w:t>
      </w:r>
      <w:r>
        <w:rPr>
          <w:rFonts w:asciiTheme="minorHAnsi" w:hAnsiTheme="minorHAnsi" w:cs="Geneva"/>
          <w:color w:val="211D1E"/>
        </w:rPr>
        <w:t>___</w:t>
      </w:r>
      <w:r w:rsidRPr="00FF74FB">
        <w:rPr>
          <w:rFonts w:asciiTheme="minorHAnsi" w:hAnsiTheme="minorHAnsi" w:cs="Geneva"/>
          <w:color w:val="211D1E"/>
        </w:rPr>
        <w:t>______</w:t>
      </w:r>
    </w:p>
    <w:p w:rsidR="00173130" w:rsidRPr="00FF74FB" w:rsidRDefault="00173130" w:rsidP="00173130">
      <w:pPr>
        <w:pStyle w:val="Pa1"/>
        <w:spacing w:line="240" w:lineRule="auto"/>
        <w:rPr>
          <w:rFonts w:asciiTheme="minorHAnsi" w:hAnsiTheme="minorHAnsi" w:cs="Geneva"/>
          <w:color w:val="211D1E"/>
        </w:rPr>
      </w:pPr>
    </w:p>
    <w:p w:rsidR="00173130" w:rsidRPr="00FF74FB" w:rsidRDefault="00173130" w:rsidP="00173130">
      <w:pPr>
        <w:pStyle w:val="Pa1"/>
        <w:spacing w:line="240" w:lineRule="auto"/>
        <w:rPr>
          <w:rFonts w:asciiTheme="minorHAnsi" w:hAnsiTheme="minorHAnsi" w:cs="Geneva"/>
          <w:color w:val="211D1E"/>
        </w:rPr>
      </w:pPr>
      <w:r w:rsidRPr="00FF74FB">
        <w:rPr>
          <w:rFonts w:asciiTheme="minorHAnsi" w:hAnsiTheme="minorHAnsi" w:cs="Geneva"/>
          <w:color w:val="211D1E"/>
        </w:rPr>
        <w:t>Concentration of Standard Phosphorus Solution (mg P/L)</w:t>
      </w:r>
      <w:r w:rsidRPr="00FF74FB">
        <w:rPr>
          <w:rFonts w:asciiTheme="minorHAnsi" w:hAnsiTheme="minorHAnsi" w:cs="Geneva"/>
          <w:color w:val="211D1E"/>
        </w:rPr>
        <w:tab/>
        <w:t>_____________________</w:t>
      </w:r>
    </w:p>
    <w:p w:rsidR="00173130" w:rsidRPr="00FF74FB" w:rsidRDefault="00173130" w:rsidP="00173130">
      <w:pPr>
        <w:pStyle w:val="Pa1"/>
        <w:spacing w:line="240" w:lineRule="auto"/>
        <w:rPr>
          <w:rFonts w:asciiTheme="minorHAnsi" w:hAnsiTheme="minorHAnsi" w:cs="Geneva"/>
          <w:color w:val="211D1E"/>
          <w:u w:val="single"/>
        </w:rPr>
      </w:pPr>
    </w:p>
    <w:p w:rsidR="00173130" w:rsidRPr="00FF74FB" w:rsidRDefault="00173130" w:rsidP="00173130">
      <w:pPr>
        <w:pStyle w:val="Pa1"/>
        <w:spacing w:line="240" w:lineRule="auto"/>
        <w:rPr>
          <w:rFonts w:asciiTheme="minorHAnsi" w:hAnsiTheme="minorHAnsi" w:cs="Geneva"/>
          <w:b/>
          <w:color w:val="211D1E"/>
        </w:rPr>
      </w:pPr>
      <w:r w:rsidRPr="00FF74FB">
        <w:rPr>
          <w:rFonts w:asciiTheme="minorHAnsi" w:hAnsiTheme="minorHAnsi" w:cs="Geneva"/>
          <w:b/>
          <w:color w:val="211D1E"/>
        </w:rPr>
        <w:t>Calibration Curve</w:t>
      </w:r>
    </w:p>
    <w:tbl>
      <w:tblPr>
        <w:tblpPr w:leftFromText="180" w:rightFromText="180" w:vertAnchor="text" w:tblpX="108" w:tblpY="1"/>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tblGrid>
      <w:tr w:rsidR="00173130" w:rsidRPr="00FF74FB" w:rsidTr="0012572E">
        <w:trPr>
          <w:trHeight w:val="397"/>
        </w:trPr>
        <w:tc>
          <w:tcPr>
            <w:tcW w:w="2376"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p>
        </w:tc>
        <w:tc>
          <w:tcPr>
            <w:tcW w:w="2772"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r w:rsidRPr="00FF74FB">
              <w:rPr>
                <w:rFonts w:asciiTheme="minorHAnsi" w:hAnsiTheme="minorHAnsi" w:cs="Times"/>
                <w:color w:val="211D1E"/>
              </w:rPr>
              <w:t>Concentration (µg P/L)</w:t>
            </w:r>
          </w:p>
        </w:tc>
        <w:tc>
          <w:tcPr>
            <w:tcW w:w="2700" w:type="dxa"/>
            <w:vAlign w:val="center"/>
          </w:tcPr>
          <w:p w:rsidR="00173130" w:rsidRPr="00FF74FB" w:rsidRDefault="00173130" w:rsidP="0012572E">
            <w:pPr>
              <w:pStyle w:val="Pa1"/>
              <w:spacing w:line="240" w:lineRule="auto"/>
              <w:jc w:val="center"/>
              <w:rPr>
                <w:rFonts w:asciiTheme="minorHAnsi" w:hAnsiTheme="minorHAnsi" w:cs="Times"/>
                <w:color w:val="211D1E"/>
              </w:rPr>
            </w:pPr>
            <w:r w:rsidRPr="00FF74FB">
              <w:rPr>
                <w:rFonts w:asciiTheme="minorHAnsi" w:hAnsiTheme="minorHAnsi" w:cs="Times"/>
                <w:color w:val="211D1E"/>
              </w:rPr>
              <w:t>Average Absorbance</w:t>
            </w:r>
          </w:p>
        </w:tc>
      </w:tr>
      <w:tr w:rsidR="00173130" w:rsidRPr="00FF74FB" w:rsidTr="0012572E">
        <w:trPr>
          <w:trHeight w:val="397"/>
        </w:trPr>
        <w:tc>
          <w:tcPr>
            <w:tcW w:w="2376"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r w:rsidRPr="00FF74FB">
              <w:rPr>
                <w:rFonts w:asciiTheme="minorHAnsi" w:hAnsiTheme="minorHAnsi" w:cs="Times"/>
                <w:color w:val="211D1E"/>
              </w:rPr>
              <w:t>Standard 1</w:t>
            </w:r>
          </w:p>
        </w:tc>
        <w:tc>
          <w:tcPr>
            <w:tcW w:w="2772"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p>
        </w:tc>
        <w:tc>
          <w:tcPr>
            <w:tcW w:w="2700" w:type="dxa"/>
            <w:tcBorders>
              <w:bottom w:val="single" w:sz="4" w:space="0" w:color="auto"/>
            </w:tcBorders>
            <w:vAlign w:val="center"/>
          </w:tcPr>
          <w:p w:rsidR="00173130" w:rsidRPr="00FF74FB" w:rsidRDefault="00173130" w:rsidP="0012572E">
            <w:pPr>
              <w:pStyle w:val="Pa1"/>
              <w:spacing w:line="240" w:lineRule="auto"/>
              <w:jc w:val="center"/>
              <w:rPr>
                <w:rFonts w:asciiTheme="minorHAnsi" w:hAnsiTheme="minorHAnsi" w:cs="Times"/>
                <w:color w:val="211D1E"/>
              </w:rPr>
            </w:pPr>
          </w:p>
        </w:tc>
      </w:tr>
      <w:tr w:rsidR="00173130" w:rsidRPr="00FF74FB" w:rsidTr="0012572E">
        <w:trPr>
          <w:trHeight w:val="397"/>
        </w:trPr>
        <w:tc>
          <w:tcPr>
            <w:tcW w:w="2376"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r w:rsidRPr="00FF74FB">
              <w:rPr>
                <w:rFonts w:asciiTheme="minorHAnsi" w:hAnsiTheme="minorHAnsi" w:cs="Times"/>
                <w:color w:val="211D1E"/>
              </w:rPr>
              <w:t>Standard 2</w:t>
            </w:r>
          </w:p>
        </w:tc>
        <w:tc>
          <w:tcPr>
            <w:tcW w:w="2772"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p>
        </w:tc>
        <w:tc>
          <w:tcPr>
            <w:tcW w:w="2700" w:type="dxa"/>
            <w:tcBorders>
              <w:bottom w:val="single" w:sz="4" w:space="0" w:color="auto"/>
            </w:tcBorders>
            <w:vAlign w:val="center"/>
          </w:tcPr>
          <w:p w:rsidR="00173130" w:rsidRPr="00FF74FB" w:rsidRDefault="00173130" w:rsidP="0012572E">
            <w:pPr>
              <w:pStyle w:val="Pa1"/>
              <w:spacing w:line="240" w:lineRule="auto"/>
              <w:jc w:val="center"/>
              <w:rPr>
                <w:rFonts w:asciiTheme="minorHAnsi" w:hAnsiTheme="minorHAnsi" w:cs="Times"/>
                <w:color w:val="211D1E"/>
              </w:rPr>
            </w:pPr>
          </w:p>
        </w:tc>
      </w:tr>
      <w:tr w:rsidR="00173130" w:rsidRPr="00FF74FB" w:rsidTr="0012572E">
        <w:trPr>
          <w:trHeight w:val="397"/>
        </w:trPr>
        <w:tc>
          <w:tcPr>
            <w:tcW w:w="2376"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r w:rsidRPr="00FF74FB">
              <w:rPr>
                <w:rFonts w:asciiTheme="minorHAnsi" w:hAnsiTheme="minorHAnsi" w:cs="Times"/>
                <w:color w:val="211D1E"/>
              </w:rPr>
              <w:t>Standard 3</w:t>
            </w:r>
          </w:p>
        </w:tc>
        <w:tc>
          <w:tcPr>
            <w:tcW w:w="2772"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p>
        </w:tc>
        <w:tc>
          <w:tcPr>
            <w:tcW w:w="2700" w:type="dxa"/>
            <w:tcBorders>
              <w:bottom w:val="single" w:sz="4" w:space="0" w:color="auto"/>
            </w:tcBorders>
            <w:vAlign w:val="center"/>
          </w:tcPr>
          <w:p w:rsidR="00173130" w:rsidRPr="00FF74FB" w:rsidRDefault="00173130" w:rsidP="0012572E">
            <w:pPr>
              <w:pStyle w:val="Pa1"/>
              <w:spacing w:line="240" w:lineRule="auto"/>
              <w:jc w:val="center"/>
              <w:rPr>
                <w:rFonts w:asciiTheme="minorHAnsi" w:hAnsiTheme="minorHAnsi" w:cs="Times"/>
                <w:color w:val="211D1E"/>
              </w:rPr>
            </w:pPr>
          </w:p>
        </w:tc>
      </w:tr>
      <w:tr w:rsidR="00173130" w:rsidRPr="00FF74FB" w:rsidTr="0012572E">
        <w:trPr>
          <w:trHeight w:val="397"/>
        </w:trPr>
        <w:tc>
          <w:tcPr>
            <w:tcW w:w="2376"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r w:rsidRPr="00FF74FB">
              <w:rPr>
                <w:rFonts w:asciiTheme="minorHAnsi" w:hAnsiTheme="minorHAnsi" w:cs="Times"/>
                <w:color w:val="211D1E"/>
              </w:rPr>
              <w:t>Standard 4</w:t>
            </w:r>
          </w:p>
        </w:tc>
        <w:tc>
          <w:tcPr>
            <w:tcW w:w="2772"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p>
        </w:tc>
        <w:tc>
          <w:tcPr>
            <w:tcW w:w="2700" w:type="dxa"/>
            <w:tcBorders>
              <w:bottom w:val="single" w:sz="4" w:space="0" w:color="auto"/>
            </w:tcBorders>
            <w:vAlign w:val="center"/>
          </w:tcPr>
          <w:p w:rsidR="00173130" w:rsidRPr="00FF74FB" w:rsidRDefault="00173130" w:rsidP="0012572E">
            <w:pPr>
              <w:pStyle w:val="Pa1"/>
              <w:spacing w:line="240" w:lineRule="auto"/>
              <w:jc w:val="center"/>
              <w:rPr>
                <w:rFonts w:asciiTheme="minorHAnsi" w:hAnsiTheme="minorHAnsi" w:cs="Times"/>
                <w:color w:val="211D1E"/>
              </w:rPr>
            </w:pPr>
          </w:p>
        </w:tc>
      </w:tr>
      <w:tr w:rsidR="00173130" w:rsidRPr="00FF74FB" w:rsidTr="0012572E">
        <w:trPr>
          <w:trHeight w:val="397"/>
        </w:trPr>
        <w:tc>
          <w:tcPr>
            <w:tcW w:w="2376"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r w:rsidRPr="00FF74FB">
              <w:rPr>
                <w:rFonts w:asciiTheme="minorHAnsi" w:hAnsiTheme="minorHAnsi" w:cs="Times"/>
                <w:color w:val="211D1E"/>
              </w:rPr>
              <w:t>Standard 5</w:t>
            </w:r>
          </w:p>
        </w:tc>
        <w:tc>
          <w:tcPr>
            <w:tcW w:w="2772" w:type="dxa"/>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p>
        </w:tc>
        <w:tc>
          <w:tcPr>
            <w:tcW w:w="2700" w:type="dxa"/>
            <w:tcBorders>
              <w:bottom w:val="single" w:sz="4" w:space="0" w:color="auto"/>
            </w:tcBorders>
            <w:vAlign w:val="center"/>
          </w:tcPr>
          <w:p w:rsidR="00173130" w:rsidRPr="00FF74FB" w:rsidRDefault="00173130" w:rsidP="0012572E">
            <w:pPr>
              <w:pStyle w:val="Pa1"/>
              <w:spacing w:line="240" w:lineRule="auto"/>
              <w:jc w:val="center"/>
              <w:rPr>
                <w:rFonts w:asciiTheme="minorHAnsi" w:hAnsiTheme="minorHAnsi" w:cs="Times"/>
                <w:color w:val="211D1E"/>
              </w:rPr>
            </w:pPr>
          </w:p>
        </w:tc>
      </w:tr>
      <w:tr w:rsidR="00173130" w:rsidRPr="00FF74FB" w:rsidTr="0012572E">
        <w:trPr>
          <w:trHeight w:val="397"/>
        </w:trPr>
        <w:tc>
          <w:tcPr>
            <w:tcW w:w="2376" w:type="dxa"/>
            <w:tcBorders>
              <w:bottom w:val="single" w:sz="4" w:space="0" w:color="auto"/>
            </w:tcBorders>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r w:rsidRPr="00FF74FB">
              <w:rPr>
                <w:rFonts w:asciiTheme="minorHAnsi" w:hAnsiTheme="minorHAnsi" w:cs="Times"/>
                <w:color w:val="211D1E"/>
              </w:rPr>
              <w:t>Standard 6</w:t>
            </w:r>
          </w:p>
        </w:tc>
        <w:tc>
          <w:tcPr>
            <w:tcW w:w="2772" w:type="dxa"/>
            <w:tcBorders>
              <w:bottom w:val="single" w:sz="4" w:space="0" w:color="auto"/>
            </w:tcBorders>
            <w:shd w:val="clear" w:color="auto" w:fill="auto"/>
            <w:vAlign w:val="center"/>
          </w:tcPr>
          <w:p w:rsidR="00173130" w:rsidRPr="00FF74FB" w:rsidRDefault="00173130" w:rsidP="0012572E">
            <w:pPr>
              <w:pStyle w:val="Pa1"/>
              <w:spacing w:line="240" w:lineRule="auto"/>
              <w:jc w:val="center"/>
              <w:rPr>
                <w:rFonts w:asciiTheme="minorHAnsi" w:hAnsiTheme="minorHAnsi" w:cs="Times"/>
                <w:color w:val="211D1E"/>
              </w:rPr>
            </w:pPr>
          </w:p>
        </w:tc>
        <w:tc>
          <w:tcPr>
            <w:tcW w:w="2700" w:type="dxa"/>
            <w:tcBorders>
              <w:bottom w:val="single" w:sz="4" w:space="0" w:color="auto"/>
            </w:tcBorders>
            <w:vAlign w:val="center"/>
          </w:tcPr>
          <w:p w:rsidR="00173130" w:rsidRPr="00FF74FB" w:rsidRDefault="00173130" w:rsidP="0012572E">
            <w:pPr>
              <w:pStyle w:val="Pa1"/>
              <w:spacing w:line="240" w:lineRule="auto"/>
              <w:jc w:val="center"/>
              <w:rPr>
                <w:rFonts w:asciiTheme="minorHAnsi" w:hAnsiTheme="minorHAnsi" w:cs="Times"/>
                <w:color w:val="211D1E"/>
              </w:rPr>
            </w:pPr>
          </w:p>
        </w:tc>
      </w:tr>
      <w:tr w:rsidR="00173130" w:rsidRPr="00FF74FB" w:rsidTr="0012572E">
        <w:trPr>
          <w:trHeight w:val="397"/>
        </w:trPr>
        <w:tc>
          <w:tcPr>
            <w:tcW w:w="7848" w:type="dxa"/>
            <w:gridSpan w:val="3"/>
            <w:vAlign w:val="center"/>
          </w:tcPr>
          <w:p w:rsidR="00173130" w:rsidRPr="00FF74FB" w:rsidRDefault="00173130" w:rsidP="0012572E">
            <w:pPr>
              <w:pStyle w:val="Pa1"/>
              <w:spacing w:line="240" w:lineRule="auto"/>
              <w:rPr>
                <w:rFonts w:asciiTheme="minorHAnsi" w:hAnsiTheme="minorHAnsi" w:cs="Times"/>
                <w:color w:val="211D1E"/>
              </w:rPr>
            </w:pPr>
            <w:r w:rsidRPr="00FF74FB">
              <w:rPr>
                <w:rFonts w:asciiTheme="minorHAnsi" w:hAnsiTheme="minorHAnsi" w:cs="Times"/>
                <w:color w:val="211D1E"/>
              </w:rPr>
              <w:t xml:space="preserve">Equation from Excel: </w:t>
            </w:r>
          </w:p>
        </w:tc>
      </w:tr>
    </w:tbl>
    <w:p w:rsidR="00173130" w:rsidRPr="00FF74FB" w:rsidRDefault="00173130" w:rsidP="00173130">
      <w:pPr>
        <w:spacing w:after="0" w:line="240" w:lineRule="auto"/>
        <w:rPr>
          <w:sz w:val="24"/>
          <w:szCs w:val="24"/>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sz w:val="24"/>
          <w:szCs w:val="24"/>
          <w:u w:val="single"/>
        </w:rPr>
      </w:pPr>
    </w:p>
    <w:p w:rsidR="00173130" w:rsidRPr="00FF74FB" w:rsidRDefault="00173130" w:rsidP="00173130">
      <w:pPr>
        <w:spacing w:after="0" w:line="240" w:lineRule="auto"/>
        <w:rPr>
          <w:b/>
          <w:sz w:val="24"/>
          <w:szCs w:val="24"/>
        </w:rPr>
      </w:pPr>
      <w:r w:rsidRPr="00FF74FB">
        <w:rPr>
          <w:b/>
          <w:sz w:val="24"/>
          <w:szCs w:val="24"/>
        </w:rPr>
        <w:t>MDL</w:t>
      </w:r>
    </w:p>
    <w:tbl>
      <w:tblPr>
        <w:tblStyle w:val="TableGrid"/>
        <w:tblW w:w="0" w:type="auto"/>
        <w:tblInd w:w="108" w:type="dxa"/>
        <w:tblLook w:val="04A0" w:firstRow="1" w:lastRow="0" w:firstColumn="1" w:lastColumn="0" w:noHBand="0" w:noVBand="1"/>
      </w:tblPr>
      <w:tblGrid>
        <w:gridCol w:w="1458"/>
        <w:gridCol w:w="2340"/>
        <w:gridCol w:w="2340"/>
      </w:tblGrid>
      <w:tr w:rsidR="00173130" w:rsidRPr="00FF74FB" w:rsidTr="0012572E">
        <w:trPr>
          <w:trHeight w:val="403"/>
        </w:trPr>
        <w:tc>
          <w:tcPr>
            <w:tcW w:w="1458" w:type="dxa"/>
            <w:vAlign w:val="center"/>
          </w:tcPr>
          <w:p w:rsidR="00173130" w:rsidRPr="00FF74FB" w:rsidRDefault="00173130" w:rsidP="0012572E">
            <w:pPr>
              <w:jc w:val="center"/>
              <w:rPr>
                <w:sz w:val="24"/>
                <w:szCs w:val="24"/>
              </w:rPr>
            </w:pPr>
          </w:p>
        </w:tc>
        <w:tc>
          <w:tcPr>
            <w:tcW w:w="2340" w:type="dxa"/>
            <w:vAlign w:val="center"/>
          </w:tcPr>
          <w:p w:rsidR="00173130" w:rsidRPr="00FF74FB" w:rsidRDefault="00173130" w:rsidP="0012572E">
            <w:pPr>
              <w:jc w:val="center"/>
              <w:rPr>
                <w:sz w:val="24"/>
                <w:szCs w:val="24"/>
              </w:rPr>
            </w:pPr>
            <w:r w:rsidRPr="00FF74FB">
              <w:rPr>
                <w:sz w:val="24"/>
                <w:szCs w:val="24"/>
              </w:rPr>
              <w:t>Absorbance</w:t>
            </w:r>
          </w:p>
        </w:tc>
        <w:tc>
          <w:tcPr>
            <w:tcW w:w="2340" w:type="dxa"/>
            <w:vAlign w:val="center"/>
          </w:tcPr>
          <w:p w:rsidR="00173130" w:rsidRPr="00FF74FB" w:rsidRDefault="00173130" w:rsidP="0012572E">
            <w:pPr>
              <w:jc w:val="center"/>
              <w:rPr>
                <w:sz w:val="24"/>
                <w:szCs w:val="24"/>
              </w:rPr>
            </w:pPr>
            <w:r w:rsidRPr="00FF74FB">
              <w:rPr>
                <w:sz w:val="24"/>
                <w:szCs w:val="24"/>
              </w:rPr>
              <w:t>Concentration (µg P/L)</w:t>
            </w:r>
          </w:p>
        </w:tc>
      </w:tr>
      <w:tr w:rsidR="00173130" w:rsidRPr="00FF74FB" w:rsidTr="0012572E">
        <w:trPr>
          <w:trHeight w:val="403"/>
        </w:trPr>
        <w:tc>
          <w:tcPr>
            <w:tcW w:w="1458" w:type="dxa"/>
            <w:vAlign w:val="center"/>
          </w:tcPr>
          <w:p w:rsidR="00173130" w:rsidRPr="00FF74FB" w:rsidRDefault="00173130" w:rsidP="0012572E">
            <w:pPr>
              <w:jc w:val="center"/>
              <w:rPr>
                <w:sz w:val="24"/>
                <w:szCs w:val="24"/>
              </w:rPr>
            </w:pPr>
            <w:r w:rsidRPr="00FF74FB">
              <w:rPr>
                <w:sz w:val="24"/>
                <w:szCs w:val="24"/>
              </w:rPr>
              <w:t>Aliquot 1</w:t>
            </w:r>
          </w:p>
        </w:tc>
        <w:tc>
          <w:tcPr>
            <w:tcW w:w="2340" w:type="dxa"/>
            <w:vAlign w:val="center"/>
          </w:tcPr>
          <w:p w:rsidR="00173130" w:rsidRPr="00FF74FB" w:rsidRDefault="00173130" w:rsidP="0012572E">
            <w:pPr>
              <w:jc w:val="center"/>
              <w:rPr>
                <w:sz w:val="24"/>
                <w:szCs w:val="24"/>
              </w:rPr>
            </w:pPr>
          </w:p>
        </w:tc>
        <w:tc>
          <w:tcPr>
            <w:tcW w:w="2340" w:type="dxa"/>
            <w:vAlign w:val="center"/>
          </w:tcPr>
          <w:p w:rsidR="00173130" w:rsidRPr="00FF74FB" w:rsidRDefault="00173130" w:rsidP="0012572E">
            <w:pPr>
              <w:jc w:val="center"/>
              <w:rPr>
                <w:sz w:val="24"/>
                <w:szCs w:val="24"/>
              </w:rPr>
            </w:pPr>
          </w:p>
        </w:tc>
      </w:tr>
      <w:tr w:rsidR="00173130" w:rsidRPr="00FF74FB" w:rsidTr="0012572E">
        <w:trPr>
          <w:trHeight w:val="403"/>
        </w:trPr>
        <w:tc>
          <w:tcPr>
            <w:tcW w:w="1458" w:type="dxa"/>
            <w:vAlign w:val="center"/>
          </w:tcPr>
          <w:p w:rsidR="00173130" w:rsidRPr="00FF74FB" w:rsidRDefault="00173130" w:rsidP="0012572E">
            <w:pPr>
              <w:jc w:val="center"/>
              <w:rPr>
                <w:sz w:val="24"/>
                <w:szCs w:val="24"/>
              </w:rPr>
            </w:pPr>
            <w:r w:rsidRPr="00FF74FB">
              <w:rPr>
                <w:sz w:val="24"/>
                <w:szCs w:val="24"/>
              </w:rPr>
              <w:t>Aliquot 2</w:t>
            </w:r>
          </w:p>
        </w:tc>
        <w:tc>
          <w:tcPr>
            <w:tcW w:w="2340" w:type="dxa"/>
            <w:vAlign w:val="center"/>
          </w:tcPr>
          <w:p w:rsidR="00173130" w:rsidRPr="00FF74FB" w:rsidRDefault="00173130" w:rsidP="0012572E">
            <w:pPr>
              <w:jc w:val="center"/>
              <w:rPr>
                <w:sz w:val="24"/>
                <w:szCs w:val="24"/>
              </w:rPr>
            </w:pPr>
          </w:p>
        </w:tc>
        <w:tc>
          <w:tcPr>
            <w:tcW w:w="2340" w:type="dxa"/>
            <w:vAlign w:val="center"/>
          </w:tcPr>
          <w:p w:rsidR="00173130" w:rsidRPr="00FF74FB" w:rsidRDefault="00173130" w:rsidP="0012572E">
            <w:pPr>
              <w:jc w:val="center"/>
              <w:rPr>
                <w:sz w:val="24"/>
                <w:szCs w:val="24"/>
              </w:rPr>
            </w:pPr>
          </w:p>
        </w:tc>
      </w:tr>
      <w:tr w:rsidR="00173130" w:rsidRPr="00FF74FB" w:rsidTr="0012572E">
        <w:trPr>
          <w:trHeight w:val="403"/>
        </w:trPr>
        <w:tc>
          <w:tcPr>
            <w:tcW w:w="1458" w:type="dxa"/>
            <w:vAlign w:val="center"/>
          </w:tcPr>
          <w:p w:rsidR="00173130" w:rsidRPr="00FF74FB" w:rsidRDefault="00173130" w:rsidP="0012572E">
            <w:pPr>
              <w:jc w:val="center"/>
              <w:rPr>
                <w:sz w:val="24"/>
                <w:szCs w:val="24"/>
              </w:rPr>
            </w:pPr>
            <w:r w:rsidRPr="00FF74FB">
              <w:rPr>
                <w:sz w:val="24"/>
                <w:szCs w:val="24"/>
              </w:rPr>
              <w:t>Aliquot 3</w:t>
            </w:r>
          </w:p>
        </w:tc>
        <w:tc>
          <w:tcPr>
            <w:tcW w:w="2340" w:type="dxa"/>
            <w:vAlign w:val="center"/>
          </w:tcPr>
          <w:p w:rsidR="00173130" w:rsidRPr="00FF74FB" w:rsidRDefault="00173130" w:rsidP="0012572E">
            <w:pPr>
              <w:jc w:val="center"/>
              <w:rPr>
                <w:sz w:val="24"/>
                <w:szCs w:val="24"/>
              </w:rPr>
            </w:pPr>
          </w:p>
        </w:tc>
        <w:tc>
          <w:tcPr>
            <w:tcW w:w="2340" w:type="dxa"/>
            <w:vAlign w:val="center"/>
          </w:tcPr>
          <w:p w:rsidR="00173130" w:rsidRPr="00FF74FB" w:rsidRDefault="00173130" w:rsidP="0012572E">
            <w:pPr>
              <w:jc w:val="center"/>
              <w:rPr>
                <w:sz w:val="24"/>
                <w:szCs w:val="24"/>
              </w:rPr>
            </w:pPr>
          </w:p>
        </w:tc>
      </w:tr>
      <w:tr w:rsidR="00173130" w:rsidRPr="00FF74FB" w:rsidTr="0012572E">
        <w:trPr>
          <w:trHeight w:val="403"/>
        </w:trPr>
        <w:tc>
          <w:tcPr>
            <w:tcW w:w="1458" w:type="dxa"/>
            <w:vAlign w:val="center"/>
          </w:tcPr>
          <w:p w:rsidR="00173130" w:rsidRPr="00FF74FB" w:rsidRDefault="00173130" w:rsidP="0012572E">
            <w:pPr>
              <w:jc w:val="center"/>
              <w:rPr>
                <w:sz w:val="24"/>
                <w:szCs w:val="24"/>
              </w:rPr>
            </w:pPr>
            <w:r w:rsidRPr="00FF74FB">
              <w:rPr>
                <w:sz w:val="24"/>
                <w:szCs w:val="24"/>
              </w:rPr>
              <w:t>Aliquot 4</w:t>
            </w:r>
          </w:p>
        </w:tc>
        <w:tc>
          <w:tcPr>
            <w:tcW w:w="2340" w:type="dxa"/>
            <w:vAlign w:val="center"/>
          </w:tcPr>
          <w:p w:rsidR="00173130" w:rsidRPr="00FF74FB" w:rsidRDefault="00173130" w:rsidP="0012572E">
            <w:pPr>
              <w:jc w:val="center"/>
              <w:rPr>
                <w:sz w:val="24"/>
                <w:szCs w:val="24"/>
              </w:rPr>
            </w:pPr>
          </w:p>
        </w:tc>
        <w:tc>
          <w:tcPr>
            <w:tcW w:w="2340" w:type="dxa"/>
            <w:vAlign w:val="center"/>
          </w:tcPr>
          <w:p w:rsidR="00173130" w:rsidRPr="00FF74FB" w:rsidRDefault="00173130" w:rsidP="0012572E">
            <w:pPr>
              <w:jc w:val="center"/>
              <w:rPr>
                <w:sz w:val="24"/>
                <w:szCs w:val="24"/>
              </w:rPr>
            </w:pPr>
          </w:p>
        </w:tc>
      </w:tr>
      <w:tr w:rsidR="00173130" w:rsidRPr="00FF74FB" w:rsidTr="0012572E">
        <w:trPr>
          <w:trHeight w:val="403"/>
        </w:trPr>
        <w:tc>
          <w:tcPr>
            <w:tcW w:w="1458" w:type="dxa"/>
            <w:vAlign w:val="center"/>
          </w:tcPr>
          <w:p w:rsidR="00173130" w:rsidRPr="00FF74FB" w:rsidRDefault="00173130" w:rsidP="0012572E">
            <w:pPr>
              <w:jc w:val="center"/>
              <w:rPr>
                <w:sz w:val="24"/>
                <w:szCs w:val="24"/>
              </w:rPr>
            </w:pPr>
            <w:r w:rsidRPr="00FF74FB">
              <w:rPr>
                <w:sz w:val="24"/>
                <w:szCs w:val="24"/>
              </w:rPr>
              <w:t>Aliquot 5</w:t>
            </w:r>
          </w:p>
        </w:tc>
        <w:tc>
          <w:tcPr>
            <w:tcW w:w="2340" w:type="dxa"/>
            <w:vAlign w:val="center"/>
          </w:tcPr>
          <w:p w:rsidR="00173130" w:rsidRPr="00FF74FB" w:rsidRDefault="00173130" w:rsidP="0012572E">
            <w:pPr>
              <w:jc w:val="center"/>
              <w:rPr>
                <w:sz w:val="24"/>
                <w:szCs w:val="24"/>
              </w:rPr>
            </w:pPr>
          </w:p>
        </w:tc>
        <w:tc>
          <w:tcPr>
            <w:tcW w:w="2340" w:type="dxa"/>
            <w:vAlign w:val="center"/>
          </w:tcPr>
          <w:p w:rsidR="00173130" w:rsidRPr="00FF74FB" w:rsidRDefault="00173130" w:rsidP="0012572E">
            <w:pPr>
              <w:jc w:val="center"/>
              <w:rPr>
                <w:sz w:val="24"/>
                <w:szCs w:val="24"/>
              </w:rPr>
            </w:pPr>
          </w:p>
        </w:tc>
      </w:tr>
      <w:tr w:rsidR="00173130" w:rsidRPr="00FF74FB" w:rsidTr="0012572E">
        <w:trPr>
          <w:trHeight w:val="403"/>
        </w:trPr>
        <w:tc>
          <w:tcPr>
            <w:tcW w:w="1458" w:type="dxa"/>
            <w:vAlign w:val="center"/>
          </w:tcPr>
          <w:p w:rsidR="00173130" w:rsidRPr="00FF74FB" w:rsidRDefault="00173130" w:rsidP="0012572E">
            <w:pPr>
              <w:jc w:val="center"/>
              <w:rPr>
                <w:sz w:val="24"/>
                <w:szCs w:val="24"/>
              </w:rPr>
            </w:pPr>
            <w:r w:rsidRPr="00FF74FB">
              <w:rPr>
                <w:sz w:val="24"/>
                <w:szCs w:val="24"/>
              </w:rPr>
              <w:t>Aliquot 6</w:t>
            </w:r>
          </w:p>
        </w:tc>
        <w:tc>
          <w:tcPr>
            <w:tcW w:w="2340" w:type="dxa"/>
            <w:vAlign w:val="center"/>
          </w:tcPr>
          <w:p w:rsidR="00173130" w:rsidRPr="00FF74FB" w:rsidRDefault="00173130" w:rsidP="0012572E">
            <w:pPr>
              <w:jc w:val="center"/>
              <w:rPr>
                <w:sz w:val="24"/>
                <w:szCs w:val="24"/>
              </w:rPr>
            </w:pPr>
          </w:p>
        </w:tc>
        <w:tc>
          <w:tcPr>
            <w:tcW w:w="2340" w:type="dxa"/>
            <w:vAlign w:val="center"/>
          </w:tcPr>
          <w:p w:rsidR="00173130" w:rsidRPr="00FF74FB" w:rsidRDefault="00173130" w:rsidP="0012572E">
            <w:pPr>
              <w:jc w:val="center"/>
              <w:rPr>
                <w:sz w:val="24"/>
                <w:szCs w:val="24"/>
              </w:rPr>
            </w:pPr>
          </w:p>
        </w:tc>
      </w:tr>
      <w:tr w:rsidR="00173130" w:rsidRPr="00FF74FB" w:rsidTr="0012572E">
        <w:trPr>
          <w:trHeight w:val="403"/>
        </w:trPr>
        <w:tc>
          <w:tcPr>
            <w:tcW w:w="1458" w:type="dxa"/>
            <w:vAlign w:val="center"/>
          </w:tcPr>
          <w:p w:rsidR="00173130" w:rsidRPr="00FF74FB" w:rsidRDefault="00173130" w:rsidP="0012572E">
            <w:pPr>
              <w:jc w:val="center"/>
              <w:rPr>
                <w:sz w:val="24"/>
                <w:szCs w:val="24"/>
              </w:rPr>
            </w:pPr>
            <w:r w:rsidRPr="00FF74FB">
              <w:rPr>
                <w:sz w:val="24"/>
                <w:szCs w:val="24"/>
              </w:rPr>
              <w:t>Aliquot 7</w:t>
            </w:r>
          </w:p>
        </w:tc>
        <w:tc>
          <w:tcPr>
            <w:tcW w:w="2340" w:type="dxa"/>
            <w:vAlign w:val="center"/>
          </w:tcPr>
          <w:p w:rsidR="00173130" w:rsidRPr="00FF74FB" w:rsidRDefault="00173130" w:rsidP="0012572E">
            <w:pPr>
              <w:jc w:val="center"/>
              <w:rPr>
                <w:sz w:val="24"/>
                <w:szCs w:val="24"/>
              </w:rPr>
            </w:pPr>
          </w:p>
        </w:tc>
        <w:tc>
          <w:tcPr>
            <w:tcW w:w="2340" w:type="dxa"/>
            <w:vAlign w:val="center"/>
          </w:tcPr>
          <w:p w:rsidR="00173130" w:rsidRPr="00FF74FB" w:rsidRDefault="00173130" w:rsidP="0012572E">
            <w:pPr>
              <w:jc w:val="center"/>
              <w:rPr>
                <w:sz w:val="24"/>
                <w:szCs w:val="24"/>
              </w:rPr>
            </w:pPr>
          </w:p>
        </w:tc>
      </w:tr>
    </w:tbl>
    <w:p w:rsidR="00173130" w:rsidRPr="00FF74FB" w:rsidRDefault="00173130" w:rsidP="00173130">
      <w:pPr>
        <w:spacing w:after="0" w:line="240" w:lineRule="auto"/>
        <w:rPr>
          <w:sz w:val="24"/>
          <w:szCs w:val="24"/>
        </w:rPr>
      </w:pPr>
    </w:p>
    <w:p w:rsidR="00173130" w:rsidRPr="00FF74FB" w:rsidRDefault="00173130" w:rsidP="00173130">
      <w:pPr>
        <w:spacing w:before="120" w:after="240" w:line="240" w:lineRule="auto"/>
        <w:rPr>
          <w:sz w:val="24"/>
          <w:szCs w:val="24"/>
        </w:rPr>
      </w:pPr>
      <w:r w:rsidRPr="00FF74FB">
        <w:rPr>
          <w:sz w:val="24"/>
          <w:szCs w:val="24"/>
        </w:rPr>
        <w:t>Standard Deviation of Replicate Aliquots (µg P/L)</w:t>
      </w:r>
      <w:r w:rsidRPr="00FF74FB">
        <w:rPr>
          <w:sz w:val="24"/>
          <w:szCs w:val="24"/>
        </w:rPr>
        <w:tab/>
        <w:t>______________________</w:t>
      </w:r>
    </w:p>
    <w:p w:rsidR="00173130" w:rsidRPr="00FF74FB" w:rsidRDefault="00173130" w:rsidP="00173130">
      <w:pPr>
        <w:spacing w:before="120" w:after="360" w:line="240" w:lineRule="auto"/>
        <w:rPr>
          <w:sz w:val="24"/>
          <w:szCs w:val="24"/>
        </w:rPr>
      </w:pPr>
      <w:r w:rsidRPr="00FF74FB">
        <w:rPr>
          <w:sz w:val="24"/>
          <w:szCs w:val="24"/>
        </w:rPr>
        <w:t>MDL (µg P/L)</w:t>
      </w:r>
      <w:r w:rsidRPr="00FF74FB">
        <w:rPr>
          <w:sz w:val="24"/>
          <w:szCs w:val="24"/>
        </w:rPr>
        <w:tab/>
      </w:r>
      <w:r w:rsidRPr="00FF74FB">
        <w:rPr>
          <w:sz w:val="24"/>
          <w:szCs w:val="24"/>
        </w:rPr>
        <w:tab/>
      </w:r>
      <w:r w:rsidRPr="00FF74FB">
        <w:rPr>
          <w:sz w:val="24"/>
          <w:szCs w:val="24"/>
        </w:rPr>
        <w:tab/>
      </w:r>
      <w:r w:rsidRPr="00FF74FB">
        <w:rPr>
          <w:sz w:val="24"/>
          <w:szCs w:val="24"/>
        </w:rPr>
        <w:tab/>
      </w:r>
      <w:r w:rsidRPr="00FF74FB">
        <w:rPr>
          <w:sz w:val="24"/>
          <w:szCs w:val="24"/>
        </w:rPr>
        <w:tab/>
      </w:r>
      <w:r w:rsidRPr="00FF74FB">
        <w:rPr>
          <w:sz w:val="24"/>
          <w:szCs w:val="24"/>
        </w:rPr>
        <w:tab/>
        <w:t>______________________</w:t>
      </w:r>
    </w:p>
    <w:p w:rsidR="00173130" w:rsidRPr="00FF74FB" w:rsidRDefault="00173130" w:rsidP="00173130">
      <w:pPr>
        <w:spacing w:before="120" w:after="240" w:line="240" w:lineRule="auto"/>
        <w:rPr>
          <w:b/>
          <w:sz w:val="24"/>
          <w:szCs w:val="24"/>
        </w:rPr>
      </w:pPr>
      <w:r w:rsidRPr="00FF74FB">
        <w:rPr>
          <w:b/>
          <w:sz w:val="24"/>
          <w:szCs w:val="24"/>
        </w:rPr>
        <w:t>Spike Recovery</w:t>
      </w:r>
    </w:p>
    <w:p w:rsidR="00173130" w:rsidRPr="00FF74FB" w:rsidRDefault="00173130" w:rsidP="00173130">
      <w:pPr>
        <w:spacing w:before="120" w:after="240" w:line="240" w:lineRule="auto"/>
        <w:rPr>
          <w:sz w:val="24"/>
          <w:szCs w:val="24"/>
        </w:rPr>
      </w:pPr>
      <w:r w:rsidRPr="00FF74FB">
        <w:rPr>
          <w:sz w:val="24"/>
          <w:szCs w:val="24"/>
        </w:rPr>
        <w:t>Concentration increase from spike (µg P/L)</w:t>
      </w:r>
      <w:r w:rsidRPr="00FF74FB">
        <w:rPr>
          <w:sz w:val="24"/>
          <w:szCs w:val="24"/>
        </w:rPr>
        <w:tab/>
      </w:r>
      <w:r w:rsidRPr="00FF74FB">
        <w:rPr>
          <w:sz w:val="24"/>
          <w:szCs w:val="24"/>
        </w:rPr>
        <w:tab/>
        <w:t>_____________________</w:t>
      </w:r>
    </w:p>
    <w:p w:rsidR="00173130" w:rsidRPr="00FF74FB" w:rsidRDefault="00173130" w:rsidP="00173130">
      <w:pPr>
        <w:spacing w:before="120" w:after="240" w:line="240" w:lineRule="auto"/>
        <w:rPr>
          <w:sz w:val="24"/>
          <w:szCs w:val="24"/>
        </w:rPr>
      </w:pPr>
      <w:r w:rsidRPr="00FF74FB">
        <w:rPr>
          <w:sz w:val="24"/>
          <w:szCs w:val="24"/>
        </w:rPr>
        <w:t xml:space="preserve">Measured P in lake water (µg P/L) </w:t>
      </w:r>
      <w:r w:rsidRPr="00FF74FB">
        <w:rPr>
          <w:sz w:val="24"/>
          <w:szCs w:val="24"/>
        </w:rPr>
        <w:tab/>
      </w:r>
      <w:r w:rsidRPr="00FF74FB">
        <w:rPr>
          <w:sz w:val="24"/>
          <w:szCs w:val="24"/>
        </w:rPr>
        <w:tab/>
      </w:r>
      <w:r w:rsidRPr="00FF74FB">
        <w:rPr>
          <w:sz w:val="24"/>
          <w:szCs w:val="24"/>
        </w:rPr>
        <w:tab/>
        <w:t>_____________________</w:t>
      </w:r>
    </w:p>
    <w:p w:rsidR="00173130" w:rsidRPr="00FF74FB" w:rsidRDefault="00173130" w:rsidP="00173130">
      <w:pPr>
        <w:spacing w:before="120" w:after="240" w:line="240" w:lineRule="auto"/>
        <w:rPr>
          <w:sz w:val="24"/>
          <w:szCs w:val="24"/>
        </w:rPr>
      </w:pPr>
      <w:r w:rsidRPr="00FF74FB">
        <w:rPr>
          <w:sz w:val="24"/>
          <w:szCs w:val="24"/>
        </w:rPr>
        <w:t xml:space="preserve">Measured P in spiked lake water (µg P/L) </w:t>
      </w:r>
      <w:r w:rsidRPr="00FF74FB">
        <w:rPr>
          <w:sz w:val="24"/>
          <w:szCs w:val="24"/>
        </w:rPr>
        <w:tab/>
      </w:r>
      <w:r w:rsidRPr="00FF74FB">
        <w:rPr>
          <w:sz w:val="24"/>
          <w:szCs w:val="24"/>
        </w:rPr>
        <w:tab/>
        <w:t>_____________________</w:t>
      </w:r>
    </w:p>
    <w:p w:rsidR="00173130" w:rsidRPr="00451431" w:rsidRDefault="00173130" w:rsidP="00173130">
      <w:pPr>
        <w:spacing w:before="120" w:after="240" w:line="240" w:lineRule="auto"/>
        <w:rPr>
          <w:b/>
          <w:bCs/>
          <w:color w:val="000000"/>
        </w:rPr>
      </w:pPr>
      <w:r w:rsidRPr="00FF74FB">
        <w:rPr>
          <w:sz w:val="24"/>
          <w:szCs w:val="24"/>
        </w:rPr>
        <w:t xml:space="preserve">% Recovery </w:t>
      </w:r>
      <w:r w:rsidRPr="00FF74FB">
        <w:rPr>
          <w:sz w:val="24"/>
          <w:szCs w:val="24"/>
        </w:rPr>
        <w:tab/>
      </w:r>
      <w:r w:rsidRPr="00FF74FB">
        <w:rPr>
          <w:sz w:val="24"/>
          <w:szCs w:val="24"/>
        </w:rPr>
        <w:tab/>
      </w:r>
      <w:r w:rsidRPr="00FF74FB">
        <w:rPr>
          <w:sz w:val="24"/>
          <w:szCs w:val="24"/>
        </w:rPr>
        <w:tab/>
      </w:r>
      <w:r w:rsidRPr="00FF74FB">
        <w:rPr>
          <w:sz w:val="24"/>
          <w:szCs w:val="24"/>
        </w:rPr>
        <w:tab/>
      </w:r>
      <w:r w:rsidRPr="00FF74FB">
        <w:rPr>
          <w:sz w:val="24"/>
          <w:szCs w:val="24"/>
        </w:rPr>
        <w:tab/>
      </w:r>
      <w:r w:rsidRPr="00FF74FB">
        <w:rPr>
          <w:sz w:val="24"/>
          <w:szCs w:val="24"/>
        </w:rPr>
        <w:tab/>
        <w:t>___________________</w:t>
      </w:r>
      <w:r w:rsidRPr="00451431">
        <w:t>__</w:t>
      </w:r>
    </w:p>
    <w:p w:rsidR="00173130" w:rsidRDefault="00173130">
      <w:pPr>
        <w:rPr>
          <w:rFonts w:cs="Times New Roman"/>
          <w:b/>
          <w:bCs/>
          <w:color w:val="000000"/>
        </w:rPr>
      </w:pPr>
    </w:p>
    <w:p w:rsidR="00173130" w:rsidRDefault="00173130" w:rsidP="00173130">
      <w:pPr>
        <w:spacing w:after="0" w:line="240" w:lineRule="auto"/>
        <w:jc w:val="center"/>
        <w:rPr>
          <w:rFonts w:cs="Times New Roman"/>
          <w:b/>
          <w:bCs/>
          <w:color w:val="000000"/>
        </w:rPr>
      </w:pPr>
      <w:r>
        <w:rPr>
          <w:rFonts w:cs="Times New Roman"/>
          <w:b/>
          <w:bCs/>
          <w:color w:val="000000"/>
        </w:rPr>
        <w:t>STAFF NOTES</w:t>
      </w:r>
    </w:p>
    <w:p w:rsidR="00173130" w:rsidRDefault="00173130" w:rsidP="00173130">
      <w:pPr>
        <w:spacing w:after="0" w:line="240" w:lineRule="auto"/>
        <w:jc w:val="center"/>
        <w:rPr>
          <w:rFonts w:cs="Times New Roman"/>
          <w:b/>
          <w:bCs/>
          <w:color w:val="000000"/>
        </w:rPr>
      </w:pPr>
    </w:p>
    <w:p w:rsidR="00173130" w:rsidRP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r w:rsidRPr="00173130">
        <w:rPr>
          <w:rStyle w:val="Strong"/>
          <w:rFonts w:asciiTheme="minorHAnsi" w:hAnsiTheme="minorHAnsi"/>
          <w:color w:val="301313"/>
          <w:sz w:val="22"/>
          <w:szCs w:val="22"/>
        </w:rPr>
        <w:t>Overview</w:t>
      </w:r>
    </w:p>
    <w:p w:rsid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r w:rsidRPr="00173130">
        <w:rPr>
          <w:rFonts w:asciiTheme="minorHAnsi" w:hAnsiTheme="minorHAnsi"/>
          <w:color w:val="301313"/>
          <w:sz w:val="22"/>
          <w:szCs w:val="22"/>
        </w:rPr>
        <w:t>Having familiarity with the Ascorbic Acid method for measuring phosphorus in an aqueous sample, students will now explore some aspects of how a method is validated.  They will explore the method detection limit and do a spike recovery analysis, which determines whether the matrix contributes to the absorbance measurement.</w:t>
      </w:r>
    </w:p>
    <w:p w:rsidR="00173130" w:rsidRP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p>
    <w:p w:rsidR="00173130" w:rsidRP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r w:rsidRPr="00173130">
        <w:rPr>
          <w:rStyle w:val="Strong"/>
          <w:rFonts w:asciiTheme="minorHAnsi" w:hAnsiTheme="minorHAnsi"/>
          <w:color w:val="301313"/>
          <w:sz w:val="22"/>
          <w:szCs w:val="22"/>
        </w:rPr>
        <w:t>Reagents and Equipment</w:t>
      </w:r>
    </w:p>
    <w:p w:rsid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r w:rsidRPr="00173130">
        <w:rPr>
          <w:rFonts w:asciiTheme="minorHAnsi" w:hAnsiTheme="minorHAnsi"/>
          <w:color w:val="301313"/>
          <w:sz w:val="22"/>
          <w:szCs w:val="22"/>
        </w:rPr>
        <w:t xml:space="preserve">This lab uses the same reagents and equipment as what is listed for the Ascorbic Acid Method. Solid ammonium persulfate, with plastic spoons attached to the bottle, should be available to students.  Stockroom staff should also put out large </w:t>
      </w:r>
      <w:r>
        <w:rPr>
          <w:rFonts w:asciiTheme="minorHAnsi" w:hAnsiTheme="minorHAnsi"/>
          <w:color w:val="301313"/>
          <w:sz w:val="22"/>
          <w:szCs w:val="22"/>
        </w:rPr>
        <w:t>carboys of a lake water sample.</w:t>
      </w:r>
    </w:p>
    <w:p w:rsidR="00173130" w:rsidRP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p>
    <w:p w:rsidR="00173130" w:rsidRP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r w:rsidRPr="00173130">
        <w:rPr>
          <w:rStyle w:val="Strong"/>
          <w:rFonts w:asciiTheme="minorHAnsi" w:hAnsiTheme="minorHAnsi"/>
          <w:color w:val="301313"/>
          <w:sz w:val="22"/>
          <w:szCs w:val="22"/>
        </w:rPr>
        <w:t>Discussion topics</w:t>
      </w:r>
    </w:p>
    <w:p w:rsid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r w:rsidRPr="00173130">
        <w:rPr>
          <w:rFonts w:asciiTheme="minorHAnsi" w:hAnsiTheme="minorHAnsi"/>
          <w:color w:val="301313"/>
          <w:sz w:val="22"/>
          <w:szCs w:val="22"/>
        </w:rPr>
        <w:t>Go over the details of the persulfate digestion, including safe handling and why its important.  You can review the prelaboratory questions too.  Here's a nicely worked out solution set, thanks to Amanda Buchberger:</w:t>
      </w:r>
    </w:p>
    <w:p w:rsid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p>
    <w:p w:rsidR="00173130" w:rsidRDefault="00173130" w:rsidP="00173130">
      <w:r>
        <w:t xml:space="preserve">1.) </w:t>
      </w:r>
      <w:r>
        <w:rPr>
          <w:b/>
        </w:rPr>
        <w:t xml:space="preserve">Estimate the MDL of the “Ascorbic Acid Method for Phosphorus Determination” as three times the standard deviation of a method blank. Absorbance values of a method blank and the equation of the calibration line are given in Table 1. Use this value as the estimated DML needed to prepare your MDL Standard Phosphorus Solution. Concentration units are in </w:t>
      </w:r>
      <w:r>
        <w:rPr>
          <w:rFonts w:ascii="Cambria" w:hAnsi="Cambria"/>
          <w:b/>
        </w:rPr>
        <w:t>μ</w:t>
      </w:r>
      <w:r>
        <w:rPr>
          <w:b/>
        </w:rPr>
        <w:t>g P/L.</w:t>
      </w:r>
      <w:r>
        <w:t xml:space="preserve"> </w:t>
      </w:r>
    </w:p>
    <w:tbl>
      <w:tblPr>
        <w:tblStyle w:val="TableGrid"/>
        <w:tblW w:w="0" w:type="auto"/>
        <w:tblLook w:val="04A0" w:firstRow="1" w:lastRow="0" w:firstColumn="1" w:lastColumn="0" w:noHBand="0" w:noVBand="1"/>
      </w:tblPr>
      <w:tblGrid>
        <w:gridCol w:w="4428"/>
        <w:gridCol w:w="4428"/>
      </w:tblGrid>
      <w:tr w:rsidR="00173130" w:rsidTr="00173130">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Blank Aliquot</w:t>
            </w:r>
          </w:p>
        </w:tc>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Absorbance</w:t>
            </w:r>
          </w:p>
        </w:tc>
      </w:tr>
      <w:tr w:rsidR="00173130" w:rsidTr="00173130">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1</w:t>
            </w:r>
          </w:p>
        </w:tc>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0.007</w:t>
            </w:r>
          </w:p>
        </w:tc>
      </w:tr>
      <w:tr w:rsidR="00173130" w:rsidTr="00173130">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2</w:t>
            </w:r>
          </w:p>
        </w:tc>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0.016</w:t>
            </w:r>
          </w:p>
        </w:tc>
      </w:tr>
      <w:tr w:rsidR="00173130" w:rsidTr="00173130">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3</w:t>
            </w:r>
          </w:p>
        </w:tc>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0.018</w:t>
            </w:r>
          </w:p>
        </w:tc>
      </w:tr>
      <w:tr w:rsidR="00173130" w:rsidTr="00173130">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4</w:t>
            </w:r>
          </w:p>
        </w:tc>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0.027</w:t>
            </w:r>
          </w:p>
        </w:tc>
      </w:tr>
      <w:tr w:rsidR="00173130" w:rsidTr="00173130">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5</w:t>
            </w:r>
          </w:p>
        </w:tc>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0.009</w:t>
            </w:r>
          </w:p>
        </w:tc>
      </w:tr>
      <w:tr w:rsidR="00173130" w:rsidTr="00173130">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6</w:t>
            </w:r>
          </w:p>
        </w:tc>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0.024</w:t>
            </w:r>
          </w:p>
        </w:tc>
      </w:tr>
      <w:tr w:rsidR="00173130" w:rsidTr="00173130">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7</w:t>
            </w:r>
          </w:p>
        </w:tc>
        <w:tc>
          <w:tcPr>
            <w:tcW w:w="4428" w:type="dxa"/>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0.013</w:t>
            </w:r>
          </w:p>
        </w:tc>
      </w:tr>
      <w:tr w:rsidR="00173130" w:rsidTr="00173130">
        <w:tc>
          <w:tcPr>
            <w:tcW w:w="8856" w:type="dxa"/>
            <w:gridSpan w:val="2"/>
            <w:tcBorders>
              <w:top w:val="single" w:sz="4" w:space="0" w:color="auto"/>
              <w:left w:val="single" w:sz="4" w:space="0" w:color="auto"/>
              <w:bottom w:val="single" w:sz="4" w:space="0" w:color="auto"/>
              <w:right w:val="single" w:sz="4" w:space="0" w:color="auto"/>
            </w:tcBorders>
            <w:hideMark/>
          </w:tcPr>
          <w:p w:rsidR="00173130" w:rsidRDefault="00173130">
            <w:pPr>
              <w:jc w:val="center"/>
              <w:rPr>
                <w:sz w:val="24"/>
                <w:szCs w:val="24"/>
              </w:rPr>
            </w:pPr>
            <w:r>
              <w:t>Calibration Equation: y=0.00064x + 0.0029</w:t>
            </w:r>
          </w:p>
        </w:tc>
      </w:tr>
    </w:tbl>
    <w:p w:rsidR="00173130" w:rsidRDefault="00173130" w:rsidP="00173130"/>
    <w:p w:rsidR="00173130" w:rsidRDefault="00173130" w:rsidP="00173130">
      <m:oMathPara>
        <m:oMath>
          <m:r>
            <w:rPr>
              <w:rFonts w:ascii="Cambria Math" w:hAnsi="Cambria Math"/>
            </w:rPr>
            <m:t>Standard Devation=0.00738725</m:t>
          </m:r>
        </m:oMath>
      </m:oMathPara>
    </w:p>
    <w:p w:rsidR="00173130" w:rsidRDefault="00173130" w:rsidP="00173130">
      <m:oMathPara>
        <m:oMath>
          <m:r>
            <w:rPr>
              <w:rFonts w:ascii="Cambria Math" w:hAnsi="Cambria Math"/>
            </w:rPr>
            <m:t>3x Standard Devation=3</m:t>
          </m:r>
          <m:d>
            <m:dPr>
              <m:ctrlPr>
                <w:rPr>
                  <w:rFonts w:ascii="Cambria Math" w:hAnsi="Cambria Math"/>
                  <w:i/>
                  <w:sz w:val="24"/>
                  <w:szCs w:val="24"/>
                </w:rPr>
              </m:ctrlPr>
            </m:dPr>
            <m:e>
              <m:r>
                <w:rPr>
                  <w:rFonts w:ascii="Cambria Math" w:hAnsi="Cambria Math"/>
                </w:rPr>
                <m:t>0.00738725</m:t>
              </m:r>
            </m:e>
          </m:d>
          <m:r>
            <w:rPr>
              <w:rFonts w:ascii="Cambria Math" w:hAnsi="Cambria Math"/>
            </w:rPr>
            <m:t>=0.02216174</m:t>
          </m:r>
        </m:oMath>
      </m:oMathPara>
    </w:p>
    <w:p w:rsidR="00173130" w:rsidRDefault="00173130" w:rsidP="00173130"/>
    <w:p w:rsidR="00173130" w:rsidRDefault="00173130" w:rsidP="00173130">
      <m:oMathPara>
        <m:oMath>
          <m:r>
            <w:rPr>
              <w:rFonts w:ascii="Cambria Math" w:hAnsi="Cambria Math"/>
            </w:rPr>
            <m:t>Absorbance=0.00064</m:t>
          </m:r>
          <m:d>
            <m:dPr>
              <m:ctrlPr>
                <w:rPr>
                  <w:rFonts w:ascii="Cambria Math" w:hAnsi="Cambria Math"/>
                  <w:i/>
                  <w:sz w:val="24"/>
                  <w:szCs w:val="24"/>
                </w:rPr>
              </m:ctrlPr>
            </m:dPr>
            <m:e>
              <m:r>
                <w:rPr>
                  <w:rFonts w:ascii="Cambria Math" w:hAnsi="Cambria Math"/>
                </w:rPr>
                <m:t>Concentration</m:t>
              </m:r>
            </m:e>
          </m:d>
          <m:r>
            <w:rPr>
              <w:rFonts w:ascii="Cambria Math" w:hAnsi="Cambria Math"/>
            </w:rPr>
            <m:t>+0.0029</m:t>
          </m:r>
        </m:oMath>
      </m:oMathPara>
    </w:p>
    <w:p w:rsidR="00173130" w:rsidRDefault="00173130" w:rsidP="00173130"/>
    <w:p w:rsidR="00173130" w:rsidRDefault="00173130" w:rsidP="00173130">
      <w:pPr>
        <w:rPr>
          <w:b/>
        </w:rPr>
      </w:pPr>
      <m:oMathPara>
        <m:oMath>
          <m:r>
            <w:rPr>
              <w:rFonts w:ascii="Cambria Math" w:hAnsi="Cambria Math"/>
            </w:rPr>
            <m:t>MDL=</m:t>
          </m:r>
          <m:f>
            <m:fPr>
              <m:ctrlPr>
                <w:rPr>
                  <w:rFonts w:ascii="Cambria Math" w:hAnsi="Cambria Math"/>
                  <w:i/>
                  <w:sz w:val="24"/>
                  <w:szCs w:val="24"/>
                </w:rPr>
              </m:ctrlPr>
            </m:fPr>
            <m:num>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rPr>
                        <m:t>0.02216174</m:t>
                      </m:r>
                    </m:e>
                  </m:d>
                  <m:r>
                    <w:rPr>
                      <w:rFonts w:ascii="Cambria Math" w:hAnsi="Cambria Math"/>
                    </w:rPr>
                    <m:t>-0.0029</m:t>
                  </m:r>
                </m:e>
              </m:d>
            </m:num>
            <m:den>
              <m:r>
                <w:rPr>
                  <w:rFonts w:ascii="Cambria Math" w:hAnsi="Cambria Math"/>
                </w:rPr>
                <m:t>0.00064</m:t>
              </m:r>
            </m:den>
          </m:f>
          <m:r>
            <w:rPr>
              <w:rFonts w:ascii="Cambria Math" w:hAnsi="Cambria Math"/>
            </w:rPr>
            <m:t>=30.0964736 μg</m:t>
          </m:r>
          <m:f>
            <m:fPr>
              <m:ctrlPr>
                <w:rPr>
                  <w:rFonts w:ascii="Cambria Math" w:hAnsi="Cambria Math"/>
                  <w:i/>
                  <w:sz w:val="24"/>
                  <w:szCs w:val="24"/>
                </w:rPr>
              </m:ctrlPr>
            </m:fPr>
            <m:num>
              <m:r>
                <w:rPr>
                  <w:rFonts w:ascii="Cambria Math" w:hAnsi="Cambria Math"/>
                </w:rPr>
                <m:t>P</m:t>
              </m:r>
            </m:num>
            <m:den>
              <m:r>
                <w:rPr>
                  <w:rFonts w:ascii="Cambria Math" w:hAnsi="Cambria Math"/>
                </w:rPr>
                <m:t>L</m:t>
              </m:r>
            </m:den>
          </m:f>
          <m:r>
            <w:rPr>
              <w:rFonts w:ascii="Cambria Math" w:hAnsi="Cambria Math"/>
            </w:rPr>
            <m:t>≅</m:t>
          </m:r>
          <m:r>
            <m:rPr>
              <m:sty m:val="bi"/>
            </m:rPr>
            <w:rPr>
              <w:rFonts w:ascii="Cambria Math" w:hAnsi="Cambria Math"/>
            </w:rPr>
            <m:t>30.1 μg</m:t>
          </m:r>
          <m:f>
            <m:fPr>
              <m:ctrlPr>
                <w:rPr>
                  <w:rFonts w:ascii="Cambria Math" w:hAnsi="Cambria Math"/>
                  <w:b/>
                  <w:i/>
                  <w:sz w:val="24"/>
                  <w:szCs w:val="24"/>
                </w:rPr>
              </m:ctrlPr>
            </m:fPr>
            <m:num>
              <m:r>
                <m:rPr>
                  <m:sty m:val="bi"/>
                </m:rPr>
                <w:rPr>
                  <w:rFonts w:ascii="Cambria Math" w:hAnsi="Cambria Math"/>
                </w:rPr>
                <m:t>P</m:t>
              </m:r>
            </m:num>
            <m:den>
              <m:r>
                <m:rPr>
                  <m:sty m:val="bi"/>
                </m:rPr>
                <w:rPr>
                  <w:rFonts w:ascii="Cambria Math" w:hAnsi="Cambria Math"/>
                </w:rPr>
                <m:t>L</m:t>
              </m:r>
            </m:den>
          </m:f>
        </m:oMath>
      </m:oMathPara>
    </w:p>
    <w:p w:rsidR="00173130" w:rsidRDefault="00173130" w:rsidP="00173130"/>
    <w:p w:rsidR="00173130" w:rsidRDefault="00173130" w:rsidP="00173130">
      <w:pPr>
        <w:rPr>
          <w:b/>
        </w:rPr>
      </w:pPr>
      <w:r>
        <w:lastRenderedPageBreak/>
        <w:t>2.)</w:t>
      </w:r>
      <w:r>
        <w:rPr>
          <w:b/>
        </w:rPr>
        <w:t xml:space="preserve"> Determine the concentrations and calculate the volumes of </w:t>
      </w:r>
      <w:r>
        <w:rPr>
          <w:b/>
          <w:i/>
        </w:rPr>
        <w:t>Standard Phosphate Solution</w:t>
      </w:r>
      <w:r>
        <w:rPr>
          <w:b/>
        </w:rPr>
        <w:t xml:space="preserve"> (~2.5 mg P/L) from the “Ascorbic Acid Method for Phosphorus Determination” lab needed to prepare the standard phosphorus solutions for your calibration curve. The concentrations of standards should range from the estimated MDL to 0.4 mg P/L. These calculations should be specific to the actual concentration of the Standard Phosphate Solution you made. Make a table in your notebook to reflect how the standards will be prepared.</w:t>
      </w:r>
    </w:p>
    <w:p w:rsidR="00173130" w:rsidRDefault="00173130" w:rsidP="00173130">
      <w:r>
        <w:t>This should be student specific.</w:t>
      </w:r>
    </w:p>
    <w:p w:rsidR="00173130" w:rsidRDefault="00173130" w:rsidP="00173130">
      <w:r>
        <w:t xml:space="preserve">3.) </w:t>
      </w:r>
      <w:r>
        <w:rPr>
          <w:b/>
        </w:rPr>
        <w:t xml:space="preserve">Calculate the increase in phosphorus concentration will be when you add 2.00 mL of your </w:t>
      </w:r>
      <w:r>
        <w:rPr>
          <w:b/>
          <w:i/>
        </w:rPr>
        <w:t>Standard Phosphate Solution</w:t>
      </w:r>
      <w:r>
        <w:rPr>
          <w:b/>
        </w:rPr>
        <w:t xml:space="preserve"> to 50.00 mL of lake water. Again, the calculation should be specific to your actual concentration of </w:t>
      </w:r>
      <w:r>
        <w:rPr>
          <w:b/>
          <w:i/>
        </w:rPr>
        <w:t>Standard Phosphate Solution</w:t>
      </w:r>
      <w:r>
        <w:rPr>
          <w:b/>
        </w:rPr>
        <w:t>.</w:t>
      </w:r>
      <w:r>
        <w:t xml:space="preserve"> </w:t>
      </w:r>
    </w:p>
    <w:p w:rsidR="00173130" w:rsidRDefault="00173130" w:rsidP="00173130">
      <m:oMathPara>
        <m:oMath>
          <m:sSub>
            <m:sSubPr>
              <m:ctrlPr>
                <w:rPr>
                  <w:rFonts w:ascii="Cambria Math" w:hAnsi="Cambria Math"/>
                  <w:i/>
                  <w:sz w:val="24"/>
                  <w:szCs w:val="24"/>
                </w:rPr>
              </m:ctrlPr>
            </m:sSubPr>
            <m:e>
              <m:r>
                <w:rPr>
                  <w:rFonts w:ascii="Cambria Math" w:hAnsi="Cambria Math"/>
                </w:rPr>
                <m:t>M</m:t>
              </m:r>
            </m:e>
            <m:sub>
              <m:r>
                <w:rPr>
                  <w:rFonts w:ascii="Cambria Math" w:hAnsi="Cambria Math"/>
                </w:rPr>
                <m:t>1</m:t>
              </m:r>
            </m:sub>
          </m:sSub>
          <m:sSub>
            <m:sSubPr>
              <m:ctrlPr>
                <w:rPr>
                  <w:rFonts w:ascii="Cambria Math" w:hAnsi="Cambria Math"/>
                  <w:i/>
                  <w:sz w:val="24"/>
                  <w:szCs w:val="24"/>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sz w:val="24"/>
                  <w:szCs w:val="24"/>
                </w:rPr>
              </m:ctrlPr>
            </m:sSubPr>
            <m:e>
              <m:r>
                <w:rPr>
                  <w:rFonts w:ascii="Cambria Math" w:hAnsi="Cambria Math"/>
                </w:rPr>
                <m:t>M</m:t>
              </m:r>
            </m:e>
            <m:sub>
              <m:r>
                <w:rPr>
                  <w:rFonts w:ascii="Cambria Math" w:hAnsi="Cambria Math"/>
                </w:rPr>
                <m:t>2</m:t>
              </m:r>
            </m:sub>
          </m:sSub>
          <m:sSub>
            <m:sSubPr>
              <m:ctrlPr>
                <w:rPr>
                  <w:rFonts w:ascii="Cambria Math" w:hAnsi="Cambria Math"/>
                  <w:i/>
                  <w:sz w:val="24"/>
                  <w:szCs w:val="24"/>
                </w:rPr>
              </m:ctrlPr>
            </m:sSubPr>
            <m:e>
              <m:r>
                <w:rPr>
                  <w:rFonts w:ascii="Cambria Math" w:hAnsi="Cambria Math"/>
                </w:rPr>
                <m:t>V</m:t>
              </m:r>
            </m:e>
            <m:sub>
              <m:r>
                <w:rPr>
                  <w:rFonts w:ascii="Cambria Math" w:hAnsi="Cambria Math"/>
                </w:rPr>
                <m:t>2</m:t>
              </m:r>
            </m:sub>
          </m:sSub>
        </m:oMath>
      </m:oMathPara>
    </w:p>
    <w:p w:rsidR="00173130" w:rsidRDefault="00173130" w:rsidP="00173130">
      <m:oMathPara>
        <m:oMath>
          <m:d>
            <m:dPr>
              <m:ctrlPr>
                <w:rPr>
                  <w:rFonts w:ascii="Cambria Math" w:hAnsi="Cambria Math"/>
                  <w:i/>
                  <w:sz w:val="24"/>
                  <w:szCs w:val="24"/>
                </w:rPr>
              </m:ctrlPr>
            </m:dPr>
            <m:e>
              <m:r>
                <w:rPr>
                  <w:rFonts w:ascii="Cambria Math" w:hAnsi="Cambria Math"/>
                </w:rPr>
                <m:t>2.5 mg</m:t>
              </m:r>
              <m:f>
                <m:fPr>
                  <m:ctrlPr>
                    <w:rPr>
                      <w:rFonts w:ascii="Cambria Math" w:hAnsi="Cambria Math"/>
                      <w:i/>
                      <w:sz w:val="24"/>
                      <w:szCs w:val="24"/>
                    </w:rPr>
                  </m:ctrlPr>
                </m:fPr>
                <m:num>
                  <m:r>
                    <w:rPr>
                      <w:rFonts w:ascii="Cambria Math" w:hAnsi="Cambria Math"/>
                    </w:rPr>
                    <m:t>P</m:t>
                  </m:r>
                </m:num>
                <m:den>
                  <m:r>
                    <w:rPr>
                      <w:rFonts w:ascii="Cambria Math" w:hAnsi="Cambria Math"/>
                    </w:rPr>
                    <m:t>L</m:t>
                  </m:r>
                </m:den>
              </m:f>
            </m:e>
          </m:d>
          <m:d>
            <m:dPr>
              <m:ctrlPr>
                <w:rPr>
                  <w:rFonts w:ascii="Cambria Math" w:hAnsi="Cambria Math"/>
                  <w:i/>
                  <w:sz w:val="24"/>
                  <w:szCs w:val="24"/>
                </w:rPr>
              </m:ctrlPr>
            </m:dPr>
            <m:e>
              <m:r>
                <w:rPr>
                  <w:rFonts w:ascii="Cambria Math" w:hAnsi="Cambria Math"/>
                </w:rPr>
                <m:t>2.00 mL</m:t>
              </m:r>
            </m:e>
          </m:d>
          <m:r>
            <w:rPr>
              <w:rFonts w:ascii="Cambria Math" w:hAnsi="Cambria Math"/>
            </w:rPr>
            <m:t>=</m:t>
          </m:r>
          <m:d>
            <m:dPr>
              <m:ctrlPr>
                <w:rPr>
                  <w:rFonts w:ascii="Cambria Math" w:hAnsi="Cambria Math"/>
                  <w:i/>
                  <w:sz w:val="24"/>
                  <w:szCs w:val="24"/>
                </w:rPr>
              </m:ctrlPr>
            </m:dPr>
            <m:e>
              <m:r>
                <w:rPr>
                  <w:rFonts w:ascii="Cambria Math" w:hAnsi="Cambria Math"/>
                </w:rPr>
                <m:t>(50.00 mL+2.00 mL)</m:t>
              </m:r>
            </m:e>
          </m:d>
          <m:d>
            <m:dPr>
              <m:ctrlPr>
                <w:rPr>
                  <w:rFonts w:ascii="Cambria Math" w:hAnsi="Cambria Math"/>
                  <w:i/>
                  <w:sz w:val="24"/>
                  <w:szCs w:val="24"/>
                </w:rPr>
              </m:ctrlPr>
            </m:dPr>
            <m:e>
              <m:r>
                <w:rPr>
                  <w:rFonts w:ascii="Cambria Math" w:hAnsi="Cambria Math"/>
                </w:rPr>
                <m:t>x mg</m:t>
              </m:r>
              <m:f>
                <m:fPr>
                  <m:ctrlPr>
                    <w:rPr>
                      <w:rFonts w:ascii="Cambria Math" w:hAnsi="Cambria Math"/>
                      <w:i/>
                      <w:sz w:val="24"/>
                      <w:szCs w:val="24"/>
                    </w:rPr>
                  </m:ctrlPr>
                </m:fPr>
                <m:num>
                  <m:r>
                    <w:rPr>
                      <w:rFonts w:ascii="Cambria Math" w:hAnsi="Cambria Math"/>
                    </w:rPr>
                    <m:t>P</m:t>
                  </m:r>
                </m:num>
                <m:den>
                  <m:r>
                    <w:rPr>
                      <w:rFonts w:ascii="Cambria Math" w:hAnsi="Cambria Math"/>
                    </w:rPr>
                    <m:t>L</m:t>
                  </m:r>
                </m:den>
              </m:f>
            </m:e>
          </m:d>
        </m:oMath>
      </m:oMathPara>
    </w:p>
    <w:p w:rsidR="00173130" w:rsidRDefault="00173130" w:rsidP="00173130">
      <w:pPr>
        <w:rPr>
          <w:b/>
        </w:rPr>
      </w:pPr>
      <m:oMathPara>
        <m:oMath>
          <m:r>
            <w:rPr>
              <w:rFonts w:ascii="Cambria Math" w:hAnsi="Cambria Math"/>
            </w:rPr>
            <m:t>x=0.09615385 mg</m:t>
          </m:r>
          <m:f>
            <m:fPr>
              <m:ctrlPr>
                <w:rPr>
                  <w:rFonts w:ascii="Cambria Math" w:hAnsi="Cambria Math"/>
                  <w:i/>
                  <w:sz w:val="24"/>
                  <w:szCs w:val="24"/>
                </w:rPr>
              </m:ctrlPr>
            </m:fPr>
            <m:num>
              <m:r>
                <w:rPr>
                  <w:rFonts w:ascii="Cambria Math" w:hAnsi="Cambria Math"/>
                </w:rPr>
                <m:t>P</m:t>
              </m:r>
            </m:num>
            <m:den>
              <m:r>
                <w:rPr>
                  <w:rFonts w:ascii="Cambria Math" w:hAnsi="Cambria Math"/>
                </w:rPr>
                <m:t>L</m:t>
              </m:r>
            </m:den>
          </m:f>
          <m:r>
            <w:rPr>
              <w:rFonts w:ascii="Cambria Math" w:hAnsi="Cambria Math"/>
            </w:rPr>
            <m:t xml:space="preserve"> ≅</m:t>
          </m:r>
          <m:r>
            <m:rPr>
              <m:sty m:val="bi"/>
            </m:rPr>
            <w:rPr>
              <w:rFonts w:ascii="Cambria Math" w:hAnsi="Cambria Math"/>
            </w:rPr>
            <m:t>0.096 mg</m:t>
          </m:r>
          <m:f>
            <m:fPr>
              <m:ctrlPr>
                <w:rPr>
                  <w:rFonts w:ascii="Cambria Math" w:hAnsi="Cambria Math"/>
                  <w:b/>
                  <w:i/>
                  <w:sz w:val="24"/>
                  <w:szCs w:val="24"/>
                </w:rPr>
              </m:ctrlPr>
            </m:fPr>
            <m:num>
              <m:r>
                <m:rPr>
                  <m:sty m:val="bi"/>
                </m:rPr>
                <w:rPr>
                  <w:rFonts w:ascii="Cambria Math" w:hAnsi="Cambria Math"/>
                </w:rPr>
                <m:t>P</m:t>
              </m:r>
            </m:num>
            <m:den>
              <m:r>
                <m:rPr>
                  <m:sty m:val="bi"/>
                </m:rPr>
                <w:rPr>
                  <w:rFonts w:ascii="Cambria Math" w:hAnsi="Cambria Math"/>
                </w:rPr>
                <m:t>L</m:t>
              </m:r>
            </m:den>
          </m:f>
        </m:oMath>
      </m:oMathPara>
    </w:p>
    <w:p w:rsidR="00173130" w:rsidRPr="00173130" w:rsidRDefault="00173130" w:rsidP="00173130">
      <w:pPr>
        <w:pStyle w:val="NormalWeb"/>
        <w:shd w:val="clear" w:color="auto" w:fill="FFFDF7"/>
        <w:spacing w:before="0" w:beforeAutospacing="0" w:after="0" w:afterAutospacing="0"/>
        <w:jc w:val="both"/>
        <w:rPr>
          <w:rFonts w:asciiTheme="minorHAnsi" w:hAnsiTheme="minorHAnsi"/>
          <w:color w:val="301313"/>
          <w:sz w:val="22"/>
          <w:szCs w:val="22"/>
        </w:rPr>
      </w:pPr>
      <w:r w:rsidRPr="00173130">
        <w:rPr>
          <w:rFonts w:asciiTheme="minorHAnsi" w:hAnsiTheme="minorHAnsi"/>
          <w:color w:val="301313"/>
          <w:sz w:val="22"/>
          <w:szCs w:val="22"/>
        </w:rPr>
        <w:t> </w:t>
      </w:r>
    </w:p>
    <w:p w:rsidR="00173130" w:rsidRDefault="00173130" w:rsidP="00173130">
      <w:pPr>
        <w:pStyle w:val="NormalWeb"/>
        <w:shd w:val="clear" w:color="auto" w:fill="FFFDF7"/>
        <w:spacing w:before="0" w:beforeAutospacing="0" w:after="0" w:afterAutospacing="0"/>
        <w:jc w:val="both"/>
        <w:rPr>
          <w:rStyle w:val="Strong"/>
          <w:rFonts w:asciiTheme="minorHAnsi" w:hAnsiTheme="minorHAnsi"/>
          <w:color w:val="301313"/>
          <w:sz w:val="22"/>
          <w:szCs w:val="22"/>
        </w:rPr>
      </w:pPr>
      <w:r w:rsidRPr="00173130">
        <w:rPr>
          <w:rStyle w:val="Strong"/>
          <w:rFonts w:asciiTheme="minorHAnsi" w:hAnsiTheme="minorHAnsi"/>
          <w:color w:val="301313"/>
          <w:sz w:val="22"/>
          <w:szCs w:val="22"/>
        </w:rPr>
        <w:t>Grading Rubric for the Answer Sheet</w:t>
      </w:r>
    </w:p>
    <w:p w:rsidR="00173130" w:rsidRDefault="00173130" w:rsidP="00173130">
      <w:r w:rsidRPr="00173130">
        <w:rPr>
          <w:color w:val="301313"/>
        </w:rPr>
        <w:br/>
      </w:r>
      <w:r>
        <w:t>The five points for the answer sheet are distributed according to the following:</w:t>
      </w:r>
    </w:p>
    <w:p w:rsidR="00173130" w:rsidRDefault="00173130" w:rsidP="00173130">
      <w:r>
        <w:t>A.  Calibration curve (1 point)—salient features include</w:t>
      </w:r>
    </w:p>
    <w:p w:rsidR="00173130" w:rsidRDefault="00173130" w:rsidP="00173130">
      <w:pPr>
        <w:pStyle w:val="ListParagraph"/>
        <w:numPr>
          <w:ilvl w:val="0"/>
          <w:numId w:val="15"/>
        </w:numPr>
      </w:pPr>
      <w:r>
        <w:t>Correct units of µg/L</w:t>
      </w:r>
    </w:p>
    <w:p w:rsidR="00173130" w:rsidRDefault="00173130" w:rsidP="00173130">
      <w:pPr>
        <w:pStyle w:val="ListParagraph"/>
        <w:numPr>
          <w:ilvl w:val="0"/>
          <w:numId w:val="15"/>
        </w:numPr>
      </w:pPr>
      <w:r>
        <w:t>A range of concentrations that span approximately to the MDL on the lower limit and about 400 µg/L on the upper limit.</w:t>
      </w:r>
    </w:p>
    <w:p w:rsidR="00173130" w:rsidRDefault="00173130" w:rsidP="00173130">
      <w:pPr>
        <w:pStyle w:val="ListParagraph"/>
        <w:numPr>
          <w:ilvl w:val="0"/>
          <w:numId w:val="15"/>
        </w:numPr>
      </w:pPr>
      <w:r>
        <w:t>The average absorbance scales accordingly (roughly linear with a maximum around 0.4 A for about 400 µg/L P concentration</w:t>
      </w:r>
    </w:p>
    <w:p w:rsidR="00173130" w:rsidRDefault="00173130" w:rsidP="00173130">
      <w:r>
        <w:t>B.  MDL (2 points)—points should be divided between the data table and the MDL reporting:</w:t>
      </w:r>
    </w:p>
    <w:p w:rsidR="00173130" w:rsidRDefault="00173130" w:rsidP="00173130">
      <w:pPr>
        <w:pStyle w:val="ListParagraph"/>
        <w:numPr>
          <w:ilvl w:val="0"/>
          <w:numId w:val="16"/>
        </w:numPr>
      </w:pPr>
      <w:r>
        <w:t>A values should be fairly small and show noise (remember they should be at the lower limit of detection).</w:t>
      </w:r>
    </w:p>
    <w:p w:rsidR="00173130" w:rsidRDefault="00173130" w:rsidP="00173130">
      <w:pPr>
        <w:pStyle w:val="ListParagraph"/>
        <w:numPr>
          <w:ilvl w:val="0"/>
          <w:numId w:val="16"/>
        </w:numPr>
      </w:pPr>
      <w:r>
        <w:t>Units should continue to be reported in µg/L.</w:t>
      </w:r>
    </w:p>
    <w:p w:rsidR="00173130" w:rsidRDefault="00173130" w:rsidP="00173130">
      <w:pPr>
        <w:pStyle w:val="ListParagraph"/>
        <w:numPr>
          <w:ilvl w:val="0"/>
          <w:numId w:val="16"/>
        </w:numPr>
      </w:pPr>
      <w:r>
        <w:t>While the reported MDL can vary quite a bit, typically students should be reporting an MDL in the range of 10-20 µg/mL.  There should be no more than three significant figures to the MDL they report.  This is limited by the noise in the A value.</w:t>
      </w:r>
    </w:p>
    <w:p w:rsidR="00173130" w:rsidRDefault="00173130" w:rsidP="00173130">
      <w:r>
        <w:t>C.  Spike Recover (2 points)</w:t>
      </w:r>
    </w:p>
    <w:p w:rsidR="00173130" w:rsidRDefault="00173130" w:rsidP="00173130">
      <w:pPr>
        <w:pStyle w:val="ListParagraph"/>
        <w:numPr>
          <w:ilvl w:val="0"/>
          <w:numId w:val="17"/>
        </w:numPr>
      </w:pPr>
      <w:r>
        <w:t>One point dedicated to the concentration increase from the spike, which should be around 100 µg/L.</w:t>
      </w:r>
    </w:p>
    <w:p w:rsidR="00173130" w:rsidRPr="00F77746" w:rsidRDefault="00173130" w:rsidP="00173130">
      <w:pPr>
        <w:pStyle w:val="ListParagraph"/>
        <w:numPr>
          <w:ilvl w:val="0"/>
          <w:numId w:val="17"/>
        </w:numPr>
      </w:pPr>
      <w:r>
        <w:lastRenderedPageBreak/>
        <w:t xml:space="preserve">The other point is towards the reporting of % Recovery.  Compare the difference between P measured in lake water versus spiked sample to the concentration of spike reported.  The % recovery should be within 10% of 100.  It might fall just outside of that range, which is ok.  If they report way outside the range (say below 60 or above 120%) then there is likely a calculation error or a problem with the data or interpretation of these data.  </w:t>
      </w:r>
    </w:p>
    <w:p w:rsidR="00501C43" w:rsidRPr="00173130" w:rsidRDefault="00501C43" w:rsidP="00173130">
      <w:pPr>
        <w:pStyle w:val="NormalWeb"/>
        <w:shd w:val="clear" w:color="auto" w:fill="FFFDF7"/>
        <w:spacing w:before="0" w:beforeAutospacing="0" w:after="0" w:afterAutospacing="0"/>
        <w:jc w:val="both"/>
        <w:rPr>
          <w:rFonts w:asciiTheme="minorHAnsi" w:hAnsiTheme="minorHAnsi"/>
          <w:b/>
          <w:bCs/>
          <w:color w:val="000000"/>
        </w:rPr>
      </w:pPr>
      <w:bookmarkStart w:id="1" w:name="_GoBack"/>
      <w:bookmarkEnd w:id="1"/>
    </w:p>
    <w:sectPr w:rsidR="00501C43" w:rsidRPr="00173130" w:rsidSect="00814980">
      <w:footerReference w:type="default" r:id="rId10"/>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7B" w:rsidRDefault="00AC707B" w:rsidP="0026059E">
      <w:pPr>
        <w:spacing w:after="0" w:line="240" w:lineRule="auto"/>
      </w:pPr>
      <w:r>
        <w:separator/>
      </w:r>
    </w:p>
  </w:endnote>
  <w:endnote w:type="continuationSeparator" w:id="0">
    <w:p w:rsidR="00AC707B" w:rsidRDefault="00AC707B" w:rsidP="0026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Geneva"/>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68284"/>
      <w:docPartObj>
        <w:docPartGallery w:val="Page Numbers (Bottom of Page)"/>
        <w:docPartUnique/>
      </w:docPartObj>
    </w:sdtPr>
    <w:sdtEndPr>
      <w:rPr>
        <w:noProof/>
      </w:rPr>
    </w:sdtEndPr>
    <w:sdtContent>
      <w:p w:rsidR="00B178F2" w:rsidRDefault="00B178F2">
        <w:pPr>
          <w:pStyle w:val="Footer"/>
          <w:jc w:val="center"/>
        </w:pPr>
        <w:r>
          <w:fldChar w:fldCharType="begin"/>
        </w:r>
        <w:r>
          <w:instrText xml:space="preserve"> PAGE   \* MERGEFORMAT </w:instrText>
        </w:r>
        <w:r>
          <w:fldChar w:fldCharType="separate"/>
        </w:r>
        <w:r w:rsidR="0026448E">
          <w:rPr>
            <w:noProof/>
          </w:rPr>
          <w:t>9</w:t>
        </w:r>
        <w:r>
          <w:rPr>
            <w:noProof/>
          </w:rPr>
          <w:fldChar w:fldCharType="end"/>
        </w:r>
      </w:p>
    </w:sdtContent>
  </w:sdt>
  <w:p w:rsidR="00C845BF" w:rsidRDefault="00C84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7B" w:rsidRDefault="00AC707B" w:rsidP="0026059E">
      <w:pPr>
        <w:spacing w:after="0" w:line="240" w:lineRule="auto"/>
      </w:pPr>
      <w:r>
        <w:separator/>
      </w:r>
    </w:p>
  </w:footnote>
  <w:footnote w:type="continuationSeparator" w:id="0">
    <w:p w:rsidR="00AC707B" w:rsidRDefault="00AC707B" w:rsidP="0026059E">
      <w:pPr>
        <w:spacing w:after="0" w:line="240" w:lineRule="auto"/>
      </w:pPr>
      <w:r>
        <w:continuationSeparator/>
      </w:r>
    </w:p>
  </w:footnote>
  <w:footnote w:id="1">
    <w:p w:rsidR="00076972" w:rsidRPr="00C27CB7" w:rsidRDefault="00076972">
      <w:pPr>
        <w:pStyle w:val="FootnoteText"/>
        <w:rPr>
          <w:rFonts w:ascii="Times New Roman" w:hAnsi="Times New Roman" w:cs="Times New Roman"/>
        </w:rPr>
      </w:pPr>
      <w:r w:rsidRPr="007D2601">
        <w:rPr>
          <w:rStyle w:val="FootnoteReference"/>
        </w:rPr>
        <w:footnoteRef/>
      </w:r>
      <w:r w:rsidRPr="00C27CB7">
        <w:rPr>
          <w:rFonts w:ascii="Times New Roman" w:hAnsi="Times New Roman" w:cs="Times New Roman"/>
        </w:rPr>
        <w:t xml:space="preserve"> Nancy W. Wentworth, U.S. Environmental Protection Agency</w:t>
      </w:r>
    </w:p>
  </w:footnote>
  <w:footnote w:id="2">
    <w:p w:rsidR="00076972" w:rsidRPr="00C27CB7" w:rsidRDefault="00076972">
      <w:pPr>
        <w:pStyle w:val="FootnoteText"/>
        <w:rPr>
          <w:rFonts w:ascii="Times New Roman" w:hAnsi="Times New Roman" w:cs="Times New Roman"/>
        </w:rPr>
      </w:pPr>
      <w:r w:rsidRPr="007D2601">
        <w:rPr>
          <w:rStyle w:val="FootnoteReference"/>
        </w:rPr>
        <w:footnoteRef/>
      </w:r>
      <w:r w:rsidRPr="00C27CB7">
        <w:rPr>
          <w:rFonts w:ascii="Times New Roman" w:hAnsi="Times New Roman" w:cs="Times New Roman"/>
        </w:rPr>
        <w:t xml:space="preserve"> Electronic Code of Federal Regulations, Title 40: Protection of Environment Part 136:  Guidelines for Establishing Test Procedures for the Analysis of Pollutants, Appendix B: Definition and Procedure for the Determination of the Method Detection Limit—rev. 1.11</w:t>
      </w:r>
    </w:p>
  </w:footnote>
  <w:footnote w:id="3">
    <w:p w:rsidR="00076972" w:rsidRPr="00C27CB7" w:rsidRDefault="00076972" w:rsidP="00F75A82">
      <w:pPr>
        <w:spacing w:after="0" w:line="240" w:lineRule="auto"/>
        <w:jc w:val="both"/>
        <w:rPr>
          <w:rFonts w:ascii="Times New Roman" w:hAnsi="Times New Roman" w:cs="Times New Roman"/>
          <w:sz w:val="20"/>
          <w:szCs w:val="20"/>
        </w:rPr>
      </w:pPr>
      <w:r w:rsidRPr="007D2601">
        <w:rPr>
          <w:rStyle w:val="FootnoteReference"/>
        </w:rPr>
        <w:footnoteRef/>
      </w:r>
      <w:r w:rsidRPr="00C27CB7">
        <w:rPr>
          <w:rFonts w:ascii="Times New Roman" w:hAnsi="Times New Roman" w:cs="Times New Roman"/>
          <w:sz w:val="20"/>
          <w:szCs w:val="20"/>
        </w:rPr>
        <w:t xml:space="preserve"> Eaton, A.D.; Clesceri L.S.; Rice E.W.; Greenberg A.E.; Franson M.H., Eds., Standard Methods for the Examination of Water and Wastewater: 21</w:t>
      </w:r>
      <w:r w:rsidRPr="00C27CB7">
        <w:rPr>
          <w:rFonts w:ascii="Times New Roman" w:hAnsi="Times New Roman" w:cs="Times New Roman"/>
          <w:sz w:val="20"/>
          <w:szCs w:val="20"/>
          <w:vertAlign w:val="superscript"/>
        </w:rPr>
        <w:t>st</w:t>
      </w:r>
      <w:r w:rsidRPr="00C27CB7">
        <w:rPr>
          <w:rFonts w:ascii="Times New Roman" w:hAnsi="Times New Roman" w:cs="Times New Roman"/>
          <w:sz w:val="20"/>
          <w:szCs w:val="20"/>
        </w:rPr>
        <w:t xml:space="preserve"> ed.; American Public Health Association: Washington, DC, Water Environment Federation: Alexandria, VA, and American Water Works Association: Denver, CO, 2005.</w:t>
      </w:r>
    </w:p>
    <w:p w:rsidR="00076972" w:rsidRPr="00C27CB7" w:rsidRDefault="00076972">
      <w:pPr>
        <w:pStyle w:val="FootnoteText"/>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AE7"/>
    <w:multiLevelType w:val="hybridMultilevel"/>
    <w:tmpl w:val="E1089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56327"/>
    <w:multiLevelType w:val="hybridMultilevel"/>
    <w:tmpl w:val="CA26CCB8"/>
    <w:lvl w:ilvl="0" w:tplc="632E51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04E4"/>
    <w:multiLevelType w:val="multilevel"/>
    <w:tmpl w:val="8F62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63843"/>
    <w:multiLevelType w:val="hybridMultilevel"/>
    <w:tmpl w:val="EC64635A"/>
    <w:lvl w:ilvl="0" w:tplc="ED661C3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E31D4"/>
    <w:multiLevelType w:val="hybridMultilevel"/>
    <w:tmpl w:val="AD6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71EA4"/>
    <w:multiLevelType w:val="hybridMultilevel"/>
    <w:tmpl w:val="798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9719E"/>
    <w:multiLevelType w:val="hybridMultilevel"/>
    <w:tmpl w:val="F3C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A4932"/>
    <w:multiLevelType w:val="hybridMultilevel"/>
    <w:tmpl w:val="708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C4C17"/>
    <w:multiLevelType w:val="hybridMultilevel"/>
    <w:tmpl w:val="9DF8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A3E02"/>
    <w:multiLevelType w:val="multilevel"/>
    <w:tmpl w:val="322C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B419C4"/>
    <w:multiLevelType w:val="hybridMultilevel"/>
    <w:tmpl w:val="56C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A6324D"/>
    <w:multiLevelType w:val="hybridMultilevel"/>
    <w:tmpl w:val="DF2A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B5F95"/>
    <w:multiLevelType w:val="multilevel"/>
    <w:tmpl w:val="3BFE0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0266F7"/>
    <w:multiLevelType w:val="multilevel"/>
    <w:tmpl w:val="DDC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0338A0"/>
    <w:multiLevelType w:val="hybridMultilevel"/>
    <w:tmpl w:val="1596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001E18"/>
    <w:multiLevelType w:val="hybridMultilevel"/>
    <w:tmpl w:val="6B1A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525E3"/>
    <w:multiLevelType w:val="hybridMultilevel"/>
    <w:tmpl w:val="CA26CCB8"/>
    <w:lvl w:ilvl="0" w:tplc="632E51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12"/>
  </w:num>
  <w:num w:numId="5">
    <w:abstractNumId w:val="1"/>
  </w:num>
  <w:num w:numId="6">
    <w:abstractNumId w:val="10"/>
  </w:num>
  <w:num w:numId="7">
    <w:abstractNumId w:val="4"/>
  </w:num>
  <w:num w:numId="8">
    <w:abstractNumId w:val="0"/>
  </w:num>
  <w:num w:numId="9">
    <w:abstractNumId w:val="7"/>
  </w:num>
  <w:num w:numId="10">
    <w:abstractNumId w:val="5"/>
  </w:num>
  <w:num w:numId="11">
    <w:abstractNumId w:val="15"/>
  </w:num>
  <w:num w:numId="12">
    <w:abstractNumId w:val="2"/>
  </w:num>
  <w:num w:numId="13">
    <w:abstractNumId w:val="9"/>
  </w:num>
  <w:num w:numId="14">
    <w:abstractNumId w:val="13"/>
  </w:num>
  <w:num w:numId="15">
    <w:abstractNumId w:val="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56"/>
    <w:rsid w:val="0000591D"/>
    <w:rsid w:val="00053963"/>
    <w:rsid w:val="00076972"/>
    <w:rsid w:val="000944DC"/>
    <w:rsid w:val="000A412E"/>
    <w:rsid w:val="000E49DD"/>
    <w:rsid w:val="000E6E31"/>
    <w:rsid w:val="000F0481"/>
    <w:rsid w:val="000F0700"/>
    <w:rsid w:val="000F139F"/>
    <w:rsid w:val="000F293F"/>
    <w:rsid w:val="00120F32"/>
    <w:rsid w:val="001338A9"/>
    <w:rsid w:val="00147B54"/>
    <w:rsid w:val="0015248B"/>
    <w:rsid w:val="00155944"/>
    <w:rsid w:val="00173130"/>
    <w:rsid w:val="001A3346"/>
    <w:rsid w:val="001A6B28"/>
    <w:rsid w:val="001C6867"/>
    <w:rsid w:val="001F2756"/>
    <w:rsid w:val="001F3D83"/>
    <w:rsid w:val="001F47E0"/>
    <w:rsid w:val="00230586"/>
    <w:rsid w:val="002309F7"/>
    <w:rsid w:val="0023797C"/>
    <w:rsid w:val="0026059E"/>
    <w:rsid w:val="0026448E"/>
    <w:rsid w:val="00275AAC"/>
    <w:rsid w:val="0028314C"/>
    <w:rsid w:val="002A08E0"/>
    <w:rsid w:val="002A6563"/>
    <w:rsid w:val="002A7546"/>
    <w:rsid w:val="002B6C73"/>
    <w:rsid w:val="002C37AB"/>
    <w:rsid w:val="002D0194"/>
    <w:rsid w:val="0031740D"/>
    <w:rsid w:val="00347ED6"/>
    <w:rsid w:val="00347F3A"/>
    <w:rsid w:val="003628EE"/>
    <w:rsid w:val="00362FC5"/>
    <w:rsid w:val="003714B2"/>
    <w:rsid w:val="003C68C9"/>
    <w:rsid w:val="003E36C1"/>
    <w:rsid w:val="0042266D"/>
    <w:rsid w:val="00422FCC"/>
    <w:rsid w:val="004320CC"/>
    <w:rsid w:val="004437D4"/>
    <w:rsid w:val="00451431"/>
    <w:rsid w:val="00464D3C"/>
    <w:rsid w:val="00474243"/>
    <w:rsid w:val="004948AF"/>
    <w:rsid w:val="004D0804"/>
    <w:rsid w:val="00501C43"/>
    <w:rsid w:val="00525A2B"/>
    <w:rsid w:val="00525DF2"/>
    <w:rsid w:val="00547217"/>
    <w:rsid w:val="00562B24"/>
    <w:rsid w:val="005F74E3"/>
    <w:rsid w:val="00614ECD"/>
    <w:rsid w:val="00621730"/>
    <w:rsid w:val="00624689"/>
    <w:rsid w:val="00642B0A"/>
    <w:rsid w:val="0064660B"/>
    <w:rsid w:val="0065231E"/>
    <w:rsid w:val="00664222"/>
    <w:rsid w:val="006700F4"/>
    <w:rsid w:val="00674FB4"/>
    <w:rsid w:val="00693474"/>
    <w:rsid w:val="00694368"/>
    <w:rsid w:val="006B3D14"/>
    <w:rsid w:val="006B68E0"/>
    <w:rsid w:val="006D02CF"/>
    <w:rsid w:val="006D1EA9"/>
    <w:rsid w:val="006E27BD"/>
    <w:rsid w:val="006E682C"/>
    <w:rsid w:val="006F1F03"/>
    <w:rsid w:val="00700C76"/>
    <w:rsid w:val="00710036"/>
    <w:rsid w:val="007140D9"/>
    <w:rsid w:val="00720156"/>
    <w:rsid w:val="0072247C"/>
    <w:rsid w:val="00754357"/>
    <w:rsid w:val="00781B86"/>
    <w:rsid w:val="007904E3"/>
    <w:rsid w:val="00794A4C"/>
    <w:rsid w:val="007A23AC"/>
    <w:rsid w:val="007A2CC3"/>
    <w:rsid w:val="007D2601"/>
    <w:rsid w:val="007D7142"/>
    <w:rsid w:val="00813DD5"/>
    <w:rsid w:val="00814980"/>
    <w:rsid w:val="00832111"/>
    <w:rsid w:val="00840B91"/>
    <w:rsid w:val="0084272B"/>
    <w:rsid w:val="00872B45"/>
    <w:rsid w:val="008756CE"/>
    <w:rsid w:val="008C67EC"/>
    <w:rsid w:val="008F177A"/>
    <w:rsid w:val="009307D5"/>
    <w:rsid w:val="009317CC"/>
    <w:rsid w:val="00932A95"/>
    <w:rsid w:val="00982BF3"/>
    <w:rsid w:val="009840BA"/>
    <w:rsid w:val="00991FF9"/>
    <w:rsid w:val="00993802"/>
    <w:rsid w:val="009B1C36"/>
    <w:rsid w:val="009B34D1"/>
    <w:rsid w:val="009D3C73"/>
    <w:rsid w:val="009F0997"/>
    <w:rsid w:val="009F134A"/>
    <w:rsid w:val="009F43BC"/>
    <w:rsid w:val="00A076BE"/>
    <w:rsid w:val="00A2610A"/>
    <w:rsid w:val="00A35D6B"/>
    <w:rsid w:val="00A41E78"/>
    <w:rsid w:val="00A52765"/>
    <w:rsid w:val="00A744F8"/>
    <w:rsid w:val="00A76923"/>
    <w:rsid w:val="00A8571A"/>
    <w:rsid w:val="00AC48F9"/>
    <w:rsid w:val="00AC707B"/>
    <w:rsid w:val="00AE434B"/>
    <w:rsid w:val="00B178F2"/>
    <w:rsid w:val="00B32EDD"/>
    <w:rsid w:val="00B37A86"/>
    <w:rsid w:val="00B625D1"/>
    <w:rsid w:val="00B6305C"/>
    <w:rsid w:val="00B63D7F"/>
    <w:rsid w:val="00B70E2B"/>
    <w:rsid w:val="00BA4E7A"/>
    <w:rsid w:val="00BB6227"/>
    <w:rsid w:val="00BC303C"/>
    <w:rsid w:val="00BE25DF"/>
    <w:rsid w:val="00C01DEE"/>
    <w:rsid w:val="00C13269"/>
    <w:rsid w:val="00C20BAA"/>
    <w:rsid w:val="00C2120F"/>
    <w:rsid w:val="00C27CB7"/>
    <w:rsid w:val="00C34375"/>
    <w:rsid w:val="00C4760B"/>
    <w:rsid w:val="00C55BF1"/>
    <w:rsid w:val="00C70E32"/>
    <w:rsid w:val="00C845BF"/>
    <w:rsid w:val="00C91109"/>
    <w:rsid w:val="00C96DA8"/>
    <w:rsid w:val="00CB2FA5"/>
    <w:rsid w:val="00CB67ED"/>
    <w:rsid w:val="00CC286C"/>
    <w:rsid w:val="00CD01ED"/>
    <w:rsid w:val="00CD4B5B"/>
    <w:rsid w:val="00CF7763"/>
    <w:rsid w:val="00D04D74"/>
    <w:rsid w:val="00D10980"/>
    <w:rsid w:val="00D27DE2"/>
    <w:rsid w:val="00D314A5"/>
    <w:rsid w:val="00D320AF"/>
    <w:rsid w:val="00D5274D"/>
    <w:rsid w:val="00D75539"/>
    <w:rsid w:val="00DB3E03"/>
    <w:rsid w:val="00DD40E0"/>
    <w:rsid w:val="00E31083"/>
    <w:rsid w:val="00E615D4"/>
    <w:rsid w:val="00E63E33"/>
    <w:rsid w:val="00E82FD3"/>
    <w:rsid w:val="00EB4954"/>
    <w:rsid w:val="00EB615D"/>
    <w:rsid w:val="00ED4EBE"/>
    <w:rsid w:val="00EE1F1F"/>
    <w:rsid w:val="00EE583F"/>
    <w:rsid w:val="00F15C63"/>
    <w:rsid w:val="00F25B8C"/>
    <w:rsid w:val="00F46D0C"/>
    <w:rsid w:val="00F6323E"/>
    <w:rsid w:val="00F75A82"/>
    <w:rsid w:val="00F87701"/>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B178F2"/>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12,Chapter Heading13"/>
    <w:basedOn w:val="Normal"/>
    <w:next w:val="Normal"/>
    <w:link w:val="Heading1Char"/>
    <w:uiPriority w:val="9"/>
    <w:qFormat/>
    <w:rsid w:val="00B17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8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78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78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178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78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178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178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059E"/>
    <w:pPr>
      <w:spacing w:after="0" w:line="240" w:lineRule="auto"/>
    </w:pPr>
    <w:rPr>
      <w:sz w:val="20"/>
      <w:szCs w:val="20"/>
    </w:rPr>
  </w:style>
  <w:style w:type="character" w:customStyle="1" w:styleId="FootnoteTextChar">
    <w:name w:val="Footnote Text Char"/>
    <w:basedOn w:val="DefaultParagraphFont"/>
    <w:link w:val="FootnoteText"/>
    <w:uiPriority w:val="99"/>
    <w:rsid w:val="0026059E"/>
    <w:rPr>
      <w:sz w:val="20"/>
      <w:szCs w:val="20"/>
    </w:rPr>
  </w:style>
  <w:style w:type="character" w:styleId="FootnoteReference">
    <w:name w:val="footnote reference"/>
    <w:basedOn w:val="DefaultParagraphFont"/>
    <w:uiPriority w:val="99"/>
    <w:unhideWhenUsed/>
    <w:rsid w:val="0026059E"/>
    <w:rPr>
      <w:vertAlign w:val="superscript"/>
    </w:rPr>
  </w:style>
  <w:style w:type="paragraph" w:customStyle="1" w:styleId="Default">
    <w:name w:val="Default"/>
    <w:rsid w:val="007140D9"/>
    <w:pPr>
      <w:autoSpaceDE w:val="0"/>
      <w:autoSpaceDN w:val="0"/>
      <w:adjustRightInd w:val="0"/>
      <w:spacing w:after="0" w:line="240" w:lineRule="auto"/>
    </w:pPr>
    <w:rPr>
      <w:rFonts w:ascii="Times" w:hAnsi="Times" w:cs="Times"/>
      <w:color w:val="000000"/>
      <w:sz w:val="24"/>
      <w:szCs w:val="24"/>
    </w:rPr>
  </w:style>
  <w:style w:type="paragraph" w:styleId="BalloonText">
    <w:name w:val="Balloon Text"/>
    <w:basedOn w:val="Normal"/>
    <w:link w:val="BalloonTextChar"/>
    <w:uiPriority w:val="99"/>
    <w:semiHidden/>
    <w:unhideWhenUsed/>
    <w:rsid w:val="0014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54"/>
    <w:rPr>
      <w:rFonts w:ascii="Tahoma" w:hAnsi="Tahoma" w:cs="Tahoma"/>
      <w:sz w:val="16"/>
      <w:szCs w:val="16"/>
    </w:rPr>
  </w:style>
  <w:style w:type="character" w:styleId="PlaceholderText">
    <w:name w:val="Placeholder Text"/>
    <w:basedOn w:val="DefaultParagraphFont"/>
    <w:uiPriority w:val="99"/>
    <w:semiHidden/>
    <w:rsid w:val="00C01DEE"/>
    <w:rPr>
      <w:color w:val="808080"/>
    </w:rPr>
  </w:style>
  <w:style w:type="character" w:styleId="CommentReference">
    <w:name w:val="annotation reference"/>
    <w:basedOn w:val="DefaultParagraphFont"/>
    <w:uiPriority w:val="99"/>
    <w:semiHidden/>
    <w:unhideWhenUsed/>
    <w:rsid w:val="00993802"/>
    <w:rPr>
      <w:sz w:val="16"/>
      <w:szCs w:val="16"/>
    </w:rPr>
  </w:style>
  <w:style w:type="paragraph" w:styleId="CommentText">
    <w:name w:val="annotation text"/>
    <w:basedOn w:val="Normal"/>
    <w:link w:val="CommentTextChar"/>
    <w:uiPriority w:val="99"/>
    <w:semiHidden/>
    <w:unhideWhenUsed/>
    <w:rsid w:val="00993802"/>
    <w:pPr>
      <w:spacing w:line="240" w:lineRule="auto"/>
    </w:pPr>
    <w:rPr>
      <w:sz w:val="20"/>
      <w:szCs w:val="20"/>
    </w:rPr>
  </w:style>
  <w:style w:type="character" w:customStyle="1" w:styleId="CommentTextChar">
    <w:name w:val="Comment Text Char"/>
    <w:basedOn w:val="DefaultParagraphFont"/>
    <w:link w:val="CommentText"/>
    <w:uiPriority w:val="99"/>
    <w:semiHidden/>
    <w:rsid w:val="00993802"/>
    <w:rPr>
      <w:sz w:val="20"/>
      <w:szCs w:val="20"/>
    </w:rPr>
  </w:style>
  <w:style w:type="paragraph" w:styleId="CommentSubject">
    <w:name w:val="annotation subject"/>
    <w:basedOn w:val="CommentText"/>
    <w:next w:val="CommentText"/>
    <w:link w:val="CommentSubjectChar"/>
    <w:uiPriority w:val="99"/>
    <w:semiHidden/>
    <w:unhideWhenUsed/>
    <w:rsid w:val="00993802"/>
    <w:rPr>
      <w:b/>
      <w:bCs/>
    </w:rPr>
  </w:style>
  <w:style w:type="character" w:customStyle="1" w:styleId="CommentSubjectChar">
    <w:name w:val="Comment Subject Char"/>
    <w:basedOn w:val="CommentTextChar"/>
    <w:link w:val="CommentSubject"/>
    <w:uiPriority w:val="99"/>
    <w:semiHidden/>
    <w:rsid w:val="00993802"/>
    <w:rPr>
      <w:b/>
      <w:bCs/>
      <w:sz w:val="20"/>
      <w:szCs w:val="20"/>
    </w:rPr>
  </w:style>
  <w:style w:type="paragraph" w:customStyle="1" w:styleId="CM17">
    <w:name w:val="CM17"/>
    <w:basedOn w:val="Default"/>
    <w:next w:val="Default"/>
    <w:uiPriority w:val="99"/>
    <w:rsid w:val="005F74E3"/>
    <w:pPr>
      <w:widowControl w:val="0"/>
    </w:pPr>
    <w:rPr>
      <w:rFonts w:eastAsia="Times New Roman" w:cs="Times New Roman"/>
      <w:color w:val="auto"/>
    </w:rPr>
  </w:style>
  <w:style w:type="paragraph" w:styleId="ListParagraph">
    <w:name w:val="List Paragraph"/>
    <w:basedOn w:val="Normal"/>
    <w:uiPriority w:val="34"/>
    <w:qFormat/>
    <w:rsid w:val="00B178F2"/>
    <w:pPr>
      <w:ind w:left="720"/>
      <w:contextualSpacing/>
    </w:pPr>
  </w:style>
  <w:style w:type="table" w:styleId="TableGrid">
    <w:name w:val="Table Grid"/>
    <w:basedOn w:val="TableNormal"/>
    <w:uiPriority w:val="59"/>
    <w:rsid w:val="00A26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
    <w:basedOn w:val="DefaultParagraphFont"/>
    <w:link w:val="Heading1"/>
    <w:uiPriority w:val="9"/>
    <w:rsid w:val="00B178F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642B0A"/>
    <w:pPr>
      <w:autoSpaceDE w:val="0"/>
      <w:autoSpaceDN w:val="0"/>
      <w:adjustRightInd w:val="0"/>
      <w:spacing w:after="0" w:line="240" w:lineRule="auto"/>
      <w:jc w:val="both"/>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rsid w:val="00642B0A"/>
    <w:rPr>
      <w:rFonts w:ascii="Times New Roman" w:eastAsia="Times New Roman" w:hAnsi="Times New Roman" w:cs="Times New Roman"/>
      <w:bCs/>
      <w:sz w:val="24"/>
      <w:szCs w:val="24"/>
    </w:rPr>
  </w:style>
  <w:style w:type="paragraph" w:styleId="Header">
    <w:name w:val="header"/>
    <w:basedOn w:val="Normal"/>
    <w:link w:val="HeaderChar"/>
    <w:rsid w:val="00C845BF"/>
    <w:pPr>
      <w:tabs>
        <w:tab w:val="center" w:pos="4680"/>
        <w:tab w:val="right" w:pos="9360"/>
      </w:tabs>
      <w:spacing w:after="0" w:line="240" w:lineRule="auto"/>
    </w:pPr>
  </w:style>
  <w:style w:type="character" w:customStyle="1" w:styleId="HeaderChar">
    <w:name w:val="Header Char"/>
    <w:basedOn w:val="DefaultParagraphFont"/>
    <w:link w:val="Header"/>
    <w:rsid w:val="00C845BF"/>
  </w:style>
  <w:style w:type="paragraph" w:styleId="Footer">
    <w:name w:val="footer"/>
    <w:basedOn w:val="Normal"/>
    <w:link w:val="FooterChar"/>
    <w:uiPriority w:val="99"/>
    <w:rsid w:val="00C8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5BF"/>
  </w:style>
  <w:style w:type="paragraph" w:customStyle="1" w:styleId="CM10">
    <w:name w:val="CM10"/>
    <w:basedOn w:val="Default"/>
    <w:next w:val="Default"/>
    <w:uiPriority w:val="99"/>
    <w:rsid w:val="00501C43"/>
    <w:pPr>
      <w:widowControl w:val="0"/>
    </w:pPr>
    <w:rPr>
      <w:rFonts w:eastAsia="Times New Roman"/>
      <w:color w:val="auto"/>
    </w:rPr>
  </w:style>
  <w:style w:type="paragraph" w:styleId="NormalWeb">
    <w:name w:val="Normal (Web)"/>
    <w:basedOn w:val="Normal"/>
    <w:uiPriority w:val="99"/>
    <w:rsid w:val="00501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451431"/>
    <w:pPr>
      <w:widowControl w:val="0"/>
      <w:autoSpaceDE w:val="0"/>
      <w:autoSpaceDN w:val="0"/>
      <w:adjustRightInd w:val="0"/>
      <w:spacing w:after="0" w:line="241" w:lineRule="atLeast"/>
    </w:pPr>
    <w:rPr>
      <w:rFonts w:ascii="Geneva" w:hAnsi="Geneva" w:cs="Times New Roman"/>
      <w:sz w:val="24"/>
      <w:szCs w:val="24"/>
    </w:rPr>
  </w:style>
  <w:style w:type="paragraph" w:styleId="EndnoteText">
    <w:name w:val="endnote text"/>
    <w:basedOn w:val="Normal"/>
    <w:link w:val="EndnoteTextChar"/>
    <w:rsid w:val="00F75A82"/>
    <w:pPr>
      <w:spacing w:after="0" w:line="240" w:lineRule="auto"/>
    </w:pPr>
    <w:rPr>
      <w:sz w:val="20"/>
      <w:szCs w:val="20"/>
    </w:rPr>
  </w:style>
  <w:style w:type="character" w:customStyle="1" w:styleId="EndnoteTextChar">
    <w:name w:val="Endnote Text Char"/>
    <w:basedOn w:val="DefaultParagraphFont"/>
    <w:link w:val="EndnoteText"/>
    <w:rsid w:val="00F75A82"/>
    <w:rPr>
      <w:sz w:val="20"/>
      <w:szCs w:val="20"/>
    </w:rPr>
  </w:style>
  <w:style w:type="character" w:styleId="EndnoteReference">
    <w:name w:val="endnote reference"/>
    <w:basedOn w:val="DefaultParagraphFont"/>
    <w:rsid w:val="00F75A82"/>
    <w:rPr>
      <w:vertAlign w:val="superscript"/>
    </w:rPr>
  </w:style>
  <w:style w:type="character" w:customStyle="1" w:styleId="Heading2Char">
    <w:name w:val="Heading 2 Char"/>
    <w:basedOn w:val="DefaultParagraphFont"/>
    <w:link w:val="Heading2"/>
    <w:uiPriority w:val="9"/>
    <w:rsid w:val="00B17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7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17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17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17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17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178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178F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178F2"/>
    <w:pPr>
      <w:spacing w:line="240" w:lineRule="auto"/>
    </w:pPr>
    <w:rPr>
      <w:b/>
      <w:bCs/>
      <w:color w:val="4F81BD" w:themeColor="accent1"/>
      <w:sz w:val="18"/>
      <w:szCs w:val="18"/>
    </w:rPr>
  </w:style>
  <w:style w:type="paragraph" w:styleId="Title">
    <w:name w:val="Title"/>
    <w:basedOn w:val="Normal"/>
    <w:next w:val="Normal"/>
    <w:link w:val="TitleChar"/>
    <w:uiPriority w:val="10"/>
    <w:qFormat/>
    <w:rsid w:val="00B17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8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78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78F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178F2"/>
    <w:rPr>
      <w:b/>
      <w:bCs/>
    </w:rPr>
  </w:style>
  <w:style w:type="character" w:styleId="Emphasis">
    <w:name w:val="Emphasis"/>
    <w:basedOn w:val="DefaultParagraphFont"/>
    <w:uiPriority w:val="20"/>
    <w:qFormat/>
    <w:rsid w:val="00B178F2"/>
    <w:rPr>
      <w:i/>
      <w:iCs/>
    </w:rPr>
  </w:style>
  <w:style w:type="paragraph" w:styleId="NoSpacing">
    <w:name w:val="No Spacing"/>
    <w:uiPriority w:val="1"/>
    <w:qFormat/>
    <w:rsid w:val="00B178F2"/>
    <w:pPr>
      <w:spacing w:after="0" w:line="240" w:lineRule="auto"/>
    </w:pPr>
  </w:style>
  <w:style w:type="paragraph" w:styleId="Quote">
    <w:name w:val="Quote"/>
    <w:basedOn w:val="Normal"/>
    <w:next w:val="Normal"/>
    <w:link w:val="QuoteChar"/>
    <w:uiPriority w:val="29"/>
    <w:qFormat/>
    <w:rsid w:val="00B178F2"/>
    <w:rPr>
      <w:i/>
      <w:iCs/>
      <w:color w:val="000000" w:themeColor="text1"/>
    </w:rPr>
  </w:style>
  <w:style w:type="character" w:customStyle="1" w:styleId="QuoteChar">
    <w:name w:val="Quote Char"/>
    <w:basedOn w:val="DefaultParagraphFont"/>
    <w:link w:val="Quote"/>
    <w:uiPriority w:val="29"/>
    <w:rsid w:val="00B178F2"/>
    <w:rPr>
      <w:i/>
      <w:iCs/>
      <w:color w:val="000000" w:themeColor="text1"/>
    </w:rPr>
  </w:style>
  <w:style w:type="paragraph" w:styleId="IntenseQuote">
    <w:name w:val="Intense Quote"/>
    <w:basedOn w:val="Normal"/>
    <w:next w:val="Normal"/>
    <w:link w:val="IntenseQuoteChar"/>
    <w:uiPriority w:val="30"/>
    <w:qFormat/>
    <w:rsid w:val="00B178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78F2"/>
    <w:rPr>
      <w:b/>
      <w:bCs/>
      <w:i/>
      <w:iCs/>
      <w:color w:val="4F81BD" w:themeColor="accent1"/>
    </w:rPr>
  </w:style>
  <w:style w:type="character" w:styleId="SubtleEmphasis">
    <w:name w:val="Subtle Emphasis"/>
    <w:basedOn w:val="DefaultParagraphFont"/>
    <w:uiPriority w:val="19"/>
    <w:qFormat/>
    <w:rsid w:val="00B178F2"/>
    <w:rPr>
      <w:i/>
      <w:iCs/>
      <w:color w:val="808080" w:themeColor="text1" w:themeTint="7F"/>
    </w:rPr>
  </w:style>
  <w:style w:type="character" w:styleId="IntenseEmphasis">
    <w:name w:val="Intense Emphasis"/>
    <w:basedOn w:val="DefaultParagraphFont"/>
    <w:uiPriority w:val="21"/>
    <w:qFormat/>
    <w:rsid w:val="00B178F2"/>
    <w:rPr>
      <w:b/>
      <w:bCs/>
      <w:i/>
      <w:iCs/>
      <w:color w:val="4F81BD" w:themeColor="accent1"/>
    </w:rPr>
  </w:style>
  <w:style w:type="character" w:styleId="SubtleReference">
    <w:name w:val="Subtle Reference"/>
    <w:basedOn w:val="DefaultParagraphFont"/>
    <w:uiPriority w:val="31"/>
    <w:qFormat/>
    <w:rsid w:val="00B178F2"/>
    <w:rPr>
      <w:smallCaps/>
      <w:color w:val="C0504D" w:themeColor="accent2"/>
      <w:u w:val="single"/>
    </w:rPr>
  </w:style>
  <w:style w:type="character" w:styleId="IntenseReference">
    <w:name w:val="Intense Reference"/>
    <w:basedOn w:val="DefaultParagraphFont"/>
    <w:uiPriority w:val="32"/>
    <w:qFormat/>
    <w:rsid w:val="00B178F2"/>
    <w:rPr>
      <w:b/>
      <w:bCs/>
      <w:smallCaps/>
      <w:color w:val="C0504D" w:themeColor="accent2"/>
      <w:spacing w:val="5"/>
      <w:u w:val="single"/>
    </w:rPr>
  </w:style>
  <w:style w:type="character" w:styleId="BookTitle">
    <w:name w:val="Book Title"/>
    <w:basedOn w:val="DefaultParagraphFont"/>
    <w:uiPriority w:val="33"/>
    <w:qFormat/>
    <w:rsid w:val="00B178F2"/>
    <w:rPr>
      <w:b/>
      <w:bCs/>
      <w:smallCaps/>
      <w:spacing w:val="5"/>
    </w:rPr>
  </w:style>
  <w:style w:type="paragraph" w:styleId="TOCHeading">
    <w:name w:val="TOC Heading"/>
    <w:basedOn w:val="Heading1"/>
    <w:next w:val="Normal"/>
    <w:uiPriority w:val="39"/>
    <w:unhideWhenUsed/>
    <w:qFormat/>
    <w:rsid w:val="00B178F2"/>
    <w:pPr>
      <w:outlineLvl w:val="9"/>
    </w:pPr>
  </w:style>
  <w:style w:type="character" w:styleId="Hyperlink">
    <w:name w:val="Hyperlink"/>
    <w:basedOn w:val="DefaultParagraphFont"/>
    <w:rsid w:val="001731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B178F2"/>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12,Chapter Heading13"/>
    <w:basedOn w:val="Normal"/>
    <w:next w:val="Normal"/>
    <w:link w:val="Heading1Char"/>
    <w:uiPriority w:val="9"/>
    <w:qFormat/>
    <w:rsid w:val="00B17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8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78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78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178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78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178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178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059E"/>
    <w:pPr>
      <w:spacing w:after="0" w:line="240" w:lineRule="auto"/>
    </w:pPr>
    <w:rPr>
      <w:sz w:val="20"/>
      <w:szCs w:val="20"/>
    </w:rPr>
  </w:style>
  <w:style w:type="character" w:customStyle="1" w:styleId="FootnoteTextChar">
    <w:name w:val="Footnote Text Char"/>
    <w:basedOn w:val="DefaultParagraphFont"/>
    <w:link w:val="FootnoteText"/>
    <w:uiPriority w:val="99"/>
    <w:rsid w:val="0026059E"/>
    <w:rPr>
      <w:sz w:val="20"/>
      <w:szCs w:val="20"/>
    </w:rPr>
  </w:style>
  <w:style w:type="character" w:styleId="FootnoteReference">
    <w:name w:val="footnote reference"/>
    <w:basedOn w:val="DefaultParagraphFont"/>
    <w:uiPriority w:val="99"/>
    <w:unhideWhenUsed/>
    <w:rsid w:val="0026059E"/>
    <w:rPr>
      <w:vertAlign w:val="superscript"/>
    </w:rPr>
  </w:style>
  <w:style w:type="paragraph" w:customStyle="1" w:styleId="Default">
    <w:name w:val="Default"/>
    <w:rsid w:val="007140D9"/>
    <w:pPr>
      <w:autoSpaceDE w:val="0"/>
      <w:autoSpaceDN w:val="0"/>
      <w:adjustRightInd w:val="0"/>
      <w:spacing w:after="0" w:line="240" w:lineRule="auto"/>
    </w:pPr>
    <w:rPr>
      <w:rFonts w:ascii="Times" w:hAnsi="Times" w:cs="Times"/>
      <w:color w:val="000000"/>
      <w:sz w:val="24"/>
      <w:szCs w:val="24"/>
    </w:rPr>
  </w:style>
  <w:style w:type="paragraph" w:styleId="BalloonText">
    <w:name w:val="Balloon Text"/>
    <w:basedOn w:val="Normal"/>
    <w:link w:val="BalloonTextChar"/>
    <w:uiPriority w:val="99"/>
    <w:semiHidden/>
    <w:unhideWhenUsed/>
    <w:rsid w:val="0014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54"/>
    <w:rPr>
      <w:rFonts w:ascii="Tahoma" w:hAnsi="Tahoma" w:cs="Tahoma"/>
      <w:sz w:val="16"/>
      <w:szCs w:val="16"/>
    </w:rPr>
  </w:style>
  <w:style w:type="character" w:styleId="PlaceholderText">
    <w:name w:val="Placeholder Text"/>
    <w:basedOn w:val="DefaultParagraphFont"/>
    <w:uiPriority w:val="99"/>
    <w:semiHidden/>
    <w:rsid w:val="00C01DEE"/>
    <w:rPr>
      <w:color w:val="808080"/>
    </w:rPr>
  </w:style>
  <w:style w:type="character" w:styleId="CommentReference">
    <w:name w:val="annotation reference"/>
    <w:basedOn w:val="DefaultParagraphFont"/>
    <w:uiPriority w:val="99"/>
    <w:semiHidden/>
    <w:unhideWhenUsed/>
    <w:rsid w:val="00993802"/>
    <w:rPr>
      <w:sz w:val="16"/>
      <w:szCs w:val="16"/>
    </w:rPr>
  </w:style>
  <w:style w:type="paragraph" w:styleId="CommentText">
    <w:name w:val="annotation text"/>
    <w:basedOn w:val="Normal"/>
    <w:link w:val="CommentTextChar"/>
    <w:uiPriority w:val="99"/>
    <w:semiHidden/>
    <w:unhideWhenUsed/>
    <w:rsid w:val="00993802"/>
    <w:pPr>
      <w:spacing w:line="240" w:lineRule="auto"/>
    </w:pPr>
    <w:rPr>
      <w:sz w:val="20"/>
      <w:szCs w:val="20"/>
    </w:rPr>
  </w:style>
  <w:style w:type="character" w:customStyle="1" w:styleId="CommentTextChar">
    <w:name w:val="Comment Text Char"/>
    <w:basedOn w:val="DefaultParagraphFont"/>
    <w:link w:val="CommentText"/>
    <w:uiPriority w:val="99"/>
    <w:semiHidden/>
    <w:rsid w:val="00993802"/>
    <w:rPr>
      <w:sz w:val="20"/>
      <w:szCs w:val="20"/>
    </w:rPr>
  </w:style>
  <w:style w:type="paragraph" w:styleId="CommentSubject">
    <w:name w:val="annotation subject"/>
    <w:basedOn w:val="CommentText"/>
    <w:next w:val="CommentText"/>
    <w:link w:val="CommentSubjectChar"/>
    <w:uiPriority w:val="99"/>
    <w:semiHidden/>
    <w:unhideWhenUsed/>
    <w:rsid w:val="00993802"/>
    <w:rPr>
      <w:b/>
      <w:bCs/>
    </w:rPr>
  </w:style>
  <w:style w:type="character" w:customStyle="1" w:styleId="CommentSubjectChar">
    <w:name w:val="Comment Subject Char"/>
    <w:basedOn w:val="CommentTextChar"/>
    <w:link w:val="CommentSubject"/>
    <w:uiPriority w:val="99"/>
    <w:semiHidden/>
    <w:rsid w:val="00993802"/>
    <w:rPr>
      <w:b/>
      <w:bCs/>
      <w:sz w:val="20"/>
      <w:szCs w:val="20"/>
    </w:rPr>
  </w:style>
  <w:style w:type="paragraph" w:customStyle="1" w:styleId="CM17">
    <w:name w:val="CM17"/>
    <w:basedOn w:val="Default"/>
    <w:next w:val="Default"/>
    <w:uiPriority w:val="99"/>
    <w:rsid w:val="005F74E3"/>
    <w:pPr>
      <w:widowControl w:val="0"/>
    </w:pPr>
    <w:rPr>
      <w:rFonts w:eastAsia="Times New Roman" w:cs="Times New Roman"/>
      <w:color w:val="auto"/>
    </w:rPr>
  </w:style>
  <w:style w:type="paragraph" w:styleId="ListParagraph">
    <w:name w:val="List Paragraph"/>
    <w:basedOn w:val="Normal"/>
    <w:uiPriority w:val="34"/>
    <w:qFormat/>
    <w:rsid w:val="00B178F2"/>
    <w:pPr>
      <w:ind w:left="720"/>
      <w:contextualSpacing/>
    </w:pPr>
  </w:style>
  <w:style w:type="table" w:styleId="TableGrid">
    <w:name w:val="Table Grid"/>
    <w:basedOn w:val="TableNormal"/>
    <w:uiPriority w:val="59"/>
    <w:rsid w:val="00A26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
    <w:basedOn w:val="DefaultParagraphFont"/>
    <w:link w:val="Heading1"/>
    <w:uiPriority w:val="9"/>
    <w:rsid w:val="00B178F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642B0A"/>
    <w:pPr>
      <w:autoSpaceDE w:val="0"/>
      <w:autoSpaceDN w:val="0"/>
      <w:adjustRightInd w:val="0"/>
      <w:spacing w:after="0" w:line="240" w:lineRule="auto"/>
      <w:jc w:val="both"/>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rsid w:val="00642B0A"/>
    <w:rPr>
      <w:rFonts w:ascii="Times New Roman" w:eastAsia="Times New Roman" w:hAnsi="Times New Roman" w:cs="Times New Roman"/>
      <w:bCs/>
      <w:sz w:val="24"/>
      <w:szCs w:val="24"/>
    </w:rPr>
  </w:style>
  <w:style w:type="paragraph" w:styleId="Header">
    <w:name w:val="header"/>
    <w:basedOn w:val="Normal"/>
    <w:link w:val="HeaderChar"/>
    <w:rsid w:val="00C845BF"/>
    <w:pPr>
      <w:tabs>
        <w:tab w:val="center" w:pos="4680"/>
        <w:tab w:val="right" w:pos="9360"/>
      </w:tabs>
      <w:spacing w:after="0" w:line="240" w:lineRule="auto"/>
    </w:pPr>
  </w:style>
  <w:style w:type="character" w:customStyle="1" w:styleId="HeaderChar">
    <w:name w:val="Header Char"/>
    <w:basedOn w:val="DefaultParagraphFont"/>
    <w:link w:val="Header"/>
    <w:rsid w:val="00C845BF"/>
  </w:style>
  <w:style w:type="paragraph" w:styleId="Footer">
    <w:name w:val="footer"/>
    <w:basedOn w:val="Normal"/>
    <w:link w:val="FooterChar"/>
    <w:uiPriority w:val="99"/>
    <w:rsid w:val="00C8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5BF"/>
  </w:style>
  <w:style w:type="paragraph" w:customStyle="1" w:styleId="CM10">
    <w:name w:val="CM10"/>
    <w:basedOn w:val="Default"/>
    <w:next w:val="Default"/>
    <w:uiPriority w:val="99"/>
    <w:rsid w:val="00501C43"/>
    <w:pPr>
      <w:widowControl w:val="0"/>
    </w:pPr>
    <w:rPr>
      <w:rFonts w:eastAsia="Times New Roman"/>
      <w:color w:val="auto"/>
    </w:rPr>
  </w:style>
  <w:style w:type="paragraph" w:styleId="NormalWeb">
    <w:name w:val="Normal (Web)"/>
    <w:basedOn w:val="Normal"/>
    <w:uiPriority w:val="99"/>
    <w:rsid w:val="00501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451431"/>
    <w:pPr>
      <w:widowControl w:val="0"/>
      <w:autoSpaceDE w:val="0"/>
      <w:autoSpaceDN w:val="0"/>
      <w:adjustRightInd w:val="0"/>
      <w:spacing w:after="0" w:line="241" w:lineRule="atLeast"/>
    </w:pPr>
    <w:rPr>
      <w:rFonts w:ascii="Geneva" w:hAnsi="Geneva" w:cs="Times New Roman"/>
      <w:sz w:val="24"/>
      <w:szCs w:val="24"/>
    </w:rPr>
  </w:style>
  <w:style w:type="paragraph" w:styleId="EndnoteText">
    <w:name w:val="endnote text"/>
    <w:basedOn w:val="Normal"/>
    <w:link w:val="EndnoteTextChar"/>
    <w:rsid w:val="00F75A82"/>
    <w:pPr>
      <w:spacing w:after="0" w:line="240" w:lineRule="auto"/>
    </w:pPr>
    <w:rPr>
      <w:sz w:val="20"/>
      <w:szCs w:val="20"/>
    </w:rPr>
  </w:style>
  <w:style w:type="character" w:customStyle="1" w:styleId="EndnoteTextChar">
    <w:name w:val="Endnote Text Char"/>
    <w:basedOn w:val="DefaultParagraphFont"/>
    <w:link w:val="EndnoteText"/>
    <w:rsid w:val="00F75A82"/>
    <w:rPr>
      <w:sz w:val="20"/>
      <w:szCs w:val="20"/>
    </w:rPr>
  </w:style>
  <w:style w:type="character" w:styleId="EndnoteReference">
    <w:name w:val="endnote reference"/>
    <w:basedOn w:val="DefaultParagraphFont"/>
    <w:rsid w:val="00F75A82"/>
    <w:rPr>
      <w:vertAlign w:val="superscript"/>
    </w:rPr>
  </w:style>
  <w:style w:type="character" w:customStyle="1" w:styleId="Heading2Char">
    <w:name w:val="Heading 2 Char"/>
    <w:basedOn w:val="DefaultParagraphFont"/>
    <w:link w:val="Heading2"/>
    <w:uiPriority w:val="9"/>
    <w:rsid w:val="00B17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7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17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17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17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17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178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178F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178F2"/>
    <w:pPr>
      <w:spacing w:line="240" w:lineRule="auto"/>
    </w:pPr>
    <w:rPr>
      <w:b/>
      <w:bCs/>
      <w:color w:val="4F81BD" w:themeColor="accent1"/>
      <w:sz w:val="18"/>
      <w:szCs w:val="18"/>
    </w:rPr>
  </w:style>
  <w:style w:type="paragraph" w:styleId="Title">
    <w:name w:val="Title"/>
    <w:basedOn w:val="Normal"/>
    <w:next w:val="Normal"/>
    <w:link w:val="TitleChar"/>
    <w:uiPriority w:val="10"/>
    <w:qFormat/>
    <w:rsid w:val="00B17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8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78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78F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178F2"/>
    <w:rPr>
      <w:b/>
      <w:bCs/>
    </w:rPr>
  </w:style>
  <w:style w:type="character" w:styleId="Emphasis">
    <w:name w:val="Emphasis"/>
    <w:basedOn w:val="DefaultParagraphFont"/>
    <w:uiPriority w:val="20"/>
    <w:qFormat/>
    <w:rsid w:val="00B178F2"/>
    <w:rPr>
      <w:i/>
      <w:iCs/>
    </w:rPr>
  </w:style>
  <w:style w:type="paragraph" w:styleId="NoSpacing">
    <w:name w:val="No Spacing"/>
    <w:uiPriority w:val="1"/>
    <w:qFormat/>
    <w:rsid w:val="00B178F2"/>
    <w:pPr>
      <w:spacing w:after="0" w:line="240" w:lineRule="auto"/>
    </w:pPr>
  </w:style>
  <w:style w:type="paragraph" w:styleId="Quote">
    <w:name w:val="Quote"/>
    <w:basedOn w:val="Normal"/>
    <w:next w:val="Normal"/>
    <w:link w:val="QuoteChar"/>
    <w:uiPriority w:val="29"/>
    <w:qFormat/>
    <w:rsid w:val="00B178F2"/>
    <w:rPr>
      <w:i/>
      <w:iCs/>
      <w:color w:val="000000" w:themeColor="text1"/>
    </w:rPr>
  </w:style>
  <w:style w:type="character" w:customStyle="1" w:styleId="QuoteChar">
    <w:name w:val="Quote Char"/>
    <w:basedOn w:val="DefaultParagraphFont"/>
    <w:link w:val="Quote"/>
    <w:uiPriority w:val="29"/>
    <w:rsid w:val="00B178F2"/>
    <w:rPr>
      <w:i/>
      <w:iCs/>
      <w:color w:val="000000" w:themeColor="text1"/>
    </w:rPr>
  </w:style>
  <w:style w:type="paragraph" w:styleId="IntenseQuote">
    <w:name w:val="Intense Quote"/>
    <w:basedOn w:val="Normal"/>
    <w:next w:val="Normal"/>
    <w:link w:val="IntenseQuoteChar"/>
    <w:uiPriority w:val="30"/>
    <w:qFormat/>
    <w:rsid w:val="00B178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78F2"/>
    <w:rPr>
      <w:b/>
      <w:bCs/>
      <w:i/>
      <w:iCs/>
      <w:color w:val="4F81BD" w:themeColor="accent1"/>
    </w:rPr>
  </w:style>
  <w:style w:type="character" w:styleId="SubtleEmphasis">
    <w:name w:val="Subtle Emphasis"/>
    <w:basedOn w:val="DefaultParagraphFont"/>
    <w:uiPriority w:val="19"/>
    <w:qFormat/>
    <w:rsid w:val="00B178F2"/>
    <w:rPr>
      <w:i/>
      <w:iCs/>
      <w:color w:val="808080" w:themeColor="text1" w:themeTint="7F"/>
    </w:rPr>
  </w:style>
  <w:style w:type="character" w:styleId="IntenseEmphasis">
    <w:name w:val="Intense Emphasis"/>
    <w:basedOn w:val="DefaultParagraphFont"/>
    <w:uiPriority w:val="21"/>
    <w:qFormat/>
    <w:rsid w:val="00B178F2"/>
    <w:rPr>
      <w:b/>
      <w:bCs/>
      <w:i/>
      <w:iCs/>
      <w:color w:val="4F81BD" w:themeColor="accent1"/>
    </w:rPr>
  </w:style>
  <w:style w:type="character" w:styleId="SubtleReference">
    <w:name w:val="Subtle Reference"/>
    <w:basedOn w:val="DefaultParagraphFont"/>
    <w:uiPriority w:val="31"/>
    <w:qFormat/>
    <w:rsid w:val="00B178F2"/>
    <w:rPr>
      <w:smallCaps/>
      <w:color w:val="C0504D" w:themeColor="accent2"/>
      <w:u w:val="single"/>
    </w:rPr>
  </w:style>
  <w:style w:type="character" w:styleId="IntenseReference">
    <w:name w:val="Intense Reference"/>
    <w:basedOn w:val="DefaultParagraphFont"/>
    <w:uiPriority w:val="32"/>
    <w:qFormat/>
    <w:rsid w:val="00B178F2"/>
    <w:rPr>
      <w:b/>
      <w:bCs/>
      <w:smallCaps/>
      <w:color w:val="C0504D" w:themeColor="accent2"/>
      <w:spacing w:val="5"/>
      <w:u w:val="single"/>
    </w:rPr>
  </w:style>
  <w:style w:type="character" w:styleId="BookTitle">
    <w:name w:val="Book Title"/>
    <w:basedOn w:val="DefaultParagraphFont"/>
    <w:uiPriority w:val="33"/>
    <w:qFormat/>
    <w:rsid w:val="00B178F2"/>
    <w:rPr>
      <w:b/>
      <w:bCs/>
      <w:smallCaps/>
      <w:spacing w:val="5"/>
    </w:rPr>
  </w:style>
  <w:style w:type="paragraph" w:styleId="TOCHeading">
    <w:name w:val="TOC Heading"/>
    <w:basedOn w:val="Heading1"/>
    <w:next w:val="Normal"/>
    <w:uiPriority w:val="39"/>
    <w:unhideWhenUsed/>
    <w:qFormat/>
    <w:rsid w:val="00B178F2"/>
    <w:pPr>
      <w:outlineLvl w:val="9"/>
    </w:pPr>
  </w:style>
  <w:style w:type="character" w:styleId="Hyperlink">
    <w:name w:val="Hyperlink"/>
    <w:basedOn w:val="DefaultParagraphFont"/>
    <w:rsid w:val="00173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5705">
      <w:bodyDiv w:val="1"/>
      <w:marLeft w:val="0"/>
      <w:marRight w:val="0"/>
      <w:marTop w:val="0"/>
      <w:marBottom w:val="0"/>
      <w:divBdr>
        <w:top w:val="none" w:sz="0" w:space="0" w:color="auto"/>
        <w:left w:val="none" w:sz="0" w:space="0" w:color="auto"/>
        <w:bottom w:val="none" w:sz="0" w:space="0" w:color="auto"/>
        <w:right w:val="none" w:sz="0" w:space="0" w:color="auto"/>
      </w:divBdr>
    </w:div>
    <w:div w:id="505751012">
      <w:bodyDiv w:val="1"/>
      <w:marLeft w:val="0"/>
      <w:marRight w:val="0"/>
      <w:marTop w:val="0"/>
      <w:marBottom w:val="0"/>
      <w:divBdr>
        <w:top w:val="none" w:sz="0" w:space="0" w:color="auto"/>
        <w:left w:val="none" w:sz="0" w:space="0" w:color="auto"/>
        <w:bottom w:val="none" w:sz="0" w:space="0" w:color="auto"/>
        <w:right w:val="none" w:sz="0" w:space="0" w:color="auto"/>
      </w:divBdr>
    </w:div>
    <w:div w:id="9487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ssemrad@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6DD1-2A26-46E0-B005-0A93D9C8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psdoolittle</dc:creator>
  <cp:lastModifiedBy>Student</cp:lastModifiedBy>
  <cp:revision>2</cp:revision>
  <cp:lastPrinted>2013-06-30T17:45:00Z</cp:lastPrinted>
  <dcterms:created xsi:type="dcterms:W3CDTF">2014-06-24T14:40:00Z</dcterms:created>
  <dcterms:modified xsi:type="dcterms:W3CDTF">2014-06-24T14:40:00Z</dcterms:modified>
</cp:coreProperties>
</file>